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A7B" w:rsidRPr="00473A7B" w:rsidRDefault="00AF0F14" w:rsidP="00473A7B">
      <w:pPr>
        <w:jc w:val="right"/>
        <w:rPr>
          <w:rFonts w:ascii="Verdana" w:hAnsi="Verdana"/>
        </w:rPr>
      </w:pPr>
      <w:bookmarkStart w:id="0" w:name="_GoBack"/>
      <w:bookmarkEnd w:id="0"/>
      <w:r>
        <w:rPr>
          <w:noProof/>
        </w:rPr>
        <w:drawing>
          <wp:anchor distT="0" distB="0" distL="114300" distR="114300" simplePos="0" relativeHeight="251658240" behindDoc="1" locked="0" layoutInCell="1" allowOverlap="1">
            <wp:simplePos x="0" y="0"/>
            <wp:positionH relativeFrom="page">
              <wp:posOffset>798195</wp:posOffset>
            </wp:positionH>
            <wp:positionV relativeFrom="page">
              <wp:posOffset>752475</wp:posOffset>
            </wp:positionV>
            <wp:extent cx="2082800" cy="533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3A7B" w:rsidRPr="00473A7B" w:rsidRDefault="00473A7B" w:rsidP="00473A7B">
      <w:pPr>
        <w:jc w:val="right"/>
        <w:rPr>
          <w:rFonts w:ascii="Verdana" w:hAnsi="Verdana"/>
        </w:rPr>
      </w:pPr>
      <w:r w:rsidRPr="00473A7B">
        <w:rPr>
          <w:rFonts w:ascii="Verdana" w:hAnsi="Verdana"/>
        </w:rPr>
        <w:tab/>
      </w:r>
    </w:p>
    <w:p w:rsidR="00473A7B" w:rsidRPr="00473A7B" w:rsidRDefault="00473A7B" w:rsidP="00473A7B">
      <w:pPr>
        <w:jc w:val="right"/>
        <w:rPr>
          <w:rFonts w:ascii="Verdana" w:hAnsi="Verdana"/>
        </w:rPr>
      </w:pPr>
    </w:p>
    <w:p w:rsidR="00473A7B" w:rsidRPr="00473A7B" w:rsidRDefault="00473A7B" w:rsidP="00473A7B">
      <w:pPr>
        <w:jc w:val="right"/>
        <w:rPr>
          <w:rFonts w:ascii="Verdana" w:hAnsi="Verdana"/>
        </w:rPr>
      </w:pPr>
    </w:p>
    <w:p w:rsidR="00473A7B" w:rsidRPr="00473A7B" w:rsidRDefault="00473A7B" w:rsidP="00473A7B">
      <w:pPr>
        <w:rPr>
          <w:rFonts w:ascii="Verdana" w:hAnsi="Verdana"/>
        </w:rPr>
      </w:pPr>
    </w:p>
    <w:p w:rsidR="00473A7B" w:rsidRPr="00473A7B" w:rsidRDefault="00473A7B" w:rsidP="00473A7B">
      <w:pPr>
        <w:rPr>
          <w:rFonts w:ascii="Verdana" w:hAnsi="Verdana"/>
        </w:rPr>
      </w:pPr>
    </w:p>
    <w:p w:rsidR="00473A7B" w:rsidRPr="00473A7B" w:rsidRDefault="00473A7B" w:rsidP="00473A7B">
      <w:pPr>
        <w:rPr>
          <w:rFonts w:ascii="Verdana" w:hAnsi="Verdana"/>
        </w:rPr>
      </w:pPr>
    </w:p>
    <w:p w:rsidR="00473A7B" w:rsidRPr="00473A7B" w:rsidRDefault="00473A7B" w:rsidP="00473A7B">
      <w:pPr>
        <w:rPr>
          <w:rFonts w:ascii="Verdana" w:hAnsi="Verdana"/>
        </w:rPr>
      </w:pPr>
    </w:p>
    <w:p w:rsidR="00473A7B" w:rsidRPr="00473A7B" w:rsidRDefault="00473A7B" w:rsidP="00473A7B">
      <w:pPr>
        <w:pStyle w:val="Header"/>
        <w:jc w:val="center"/>
        <w:rPr>
          <w:rFonts w:ascii="Verdana" w:hAnsi="Verdana"/>
          <w:b/>
          <w:sz w:val="28"/>
          <w:szCs w:val="28"/>
        </w:rPr>
      </w:pPr>
      <w:r w:rsidRPr="00473A7B">
        <w:rPr>
          <w:rFonts w:ascii="Verdana" w:hAnsi="Verdana"/>
          <w:b/>
          <w:sz w:val="28"/>
          <w:szCs w:val="28"/>
        </w:rPr>
        <w:t>Committee for Risk Assessment (RAC)</w:t>
      </w:r>
    </w:p>
    <w:p w:rsidR="00473A7B" w:rsidRPr="00473A7B" w:rsidRDefault="00473A7B" w:rsidP="00473A7B">
      <w:pPr>
        <w:pStyle w:val="Header"/>
        <w:jc w:val="center"/>
        <w:rPr>
          <w:rFonts w:ascii="Verdana" w:hAnsi="Verdana"/>
          <w:b/>
          <w:sz w:val="28"/>
          <w:szCs w:val="28"/>
        </w:rPr>
      </w:pPr>
      <w:r w:rsidRPr="00473A7B">
        <w:rPr>
          <w:rFonts w:ascii="Verdana" w:hAnsi="Verdana"/>
          <w:b/>
          <w:sz w:val="28"/>
          <w:szCs w:val="28"/>
        </w:rPr>
        <w:t>Committee for Socio-economic Analysis (SEAC)</w:t>
      </w:r>
    </w:p>
    <w:p w:rsidR="00473A7B" w:rsidRPr="00473A7B" w:rsidRDefault="00473A7B" w:rsidP="00473A7B">
      <w:pPr>
        <w:rPr>
          <w:rFonts w:ascii="Verdana" w:hAnsi="Verdana"/>
        </w:rPr>
      </w:pPr>
    </w:p>
    <w:p w:rsidR="00473A7B" w:rsidRPr="00473A7B" w:rsidRDefault="00473A7B" w:rsidP="00473A7B">
      <w:pPr>
        <w:rPr>
          <w:rFonts w:ascii="Verdana" w:hAnsi="Verdana"/>
        </w:rPr>
      </w:pPr>
    </w:p>
    <w:p w:rsidR="00473A7B" w:rsidRPr="00473A7B" w:rsidRDefault="00473A7B" w:rsidP="00473A7B">
      <w:pPr>
        <w:rPr>
          <w:rFonts w:ascii="Verdana" w:hAnsi="Verdana"/>
        </w:rPr>
      </w:pPr>
    </w:p>
    <w:p w:rsidR="00473A7B" w:rsidRPr="00473A7B" w:rsidRDefault="00473A7B" w:rsidP="00473A7B">
      <w:pPr>
        <w:rPr>
          <w:rFonts w:ascii="Verdana" w:hAnsi="Verdana"/>
        </w:rPr>
      </w:pPr>
    </w:p>
    <w:p w:rsidR="00473A7B" w:rsidRPr="00473A7B" w:rsidRDefault="00473A7B" w:rsidP="00473A7B">
      <w:pPr>
        <w:rPr>
          <w:rFonts w:ascii="Verdana" w:hAnsi="Verdana"/>
        </w:rPr>
      </w:pPr>
    </w:p>
    <w:p w:rsidR="00473A7B" w:rsidRPr="00473A7B" w:rsidRDefault="00473A7B" w:rsidP="00473A7B">
      <w:pPr>
        <w:pStyle w:val="Header"/>
        <w:jc w:val="center"/>
        <w:rPr>
          <w:rFonts w:ascii="Verdana" w:hAnsi="Verdana"/>
          <w:b/>
          <w:sz w:val="28"/>
          <w:szCs w:val="28"/>
        </w:rPr>
      </w:pPr>
      <w:r w:rsidRPr="00473A7B">
        <w:rPr>
          <w:rFonts w:ascii="Verdana" w:hAnsi="Verdana"/>
          <w:b/>
          <w:sz w:val="28"/>
          <w:szCs w:val="28"/>
        </w:rPr>
        <w:t>Response to comments document (RCOM)</w:t>
      </w:r>
    </w:p>
    <w:p w:rsidR="00473A7B" w:rsidRPr="00473A7B" w:rsidRDefault="00473A7B" w:rsidP="00473A7B">
      <w:pPr>
        <w:pStyle w:val="Header"/>
        <w:jc w:val="center"/>
        <w:rPr>
          <w:rFonts w:ascii="Verdana" w:hAnsi="Verdana"/>
          <w:sz w:val="28"/>
          <w:szCs w:val="28"/>
        </w:rPr>
      </w:pPr>
      <w:r w:rsidRPr="00473A7B">
        <w:rPr>
          <w:rFonts w:ascii="Verdana" w:hAnsi="Verdana"/>
          <w:sz w:val="28"/>
          <w:szCs w:val="28"/>
        </w:rPr>
        <w:t xml:space="preserve">to the opinions on the Annex XV dossier </w:t>
      </w:r>
    </w:p>
    <w:p w:rsidR="00473A7B" w:rsidRPr="00473A7B" w:rsidRDefault="00473A7B" w:rsidP="00473A7B">
      <w:pPr>
        <w:pStyle w:val="Header"/>
        <w:jc w:val="center"/>
        <w:rPr>
          <w:rFonts w:ascii="Verdana" w:hAnsi="Verdana"/>
          <w:sz w:val="28"/>
          <w:szCs w:val="28"/>
        </w:rPr>
      </w:pPr>
      <w:r w:rsidRPr="00473A7B">
        <w:rPr>
          <w:rFonts w:ascii="Verdana" w:hAnsi="Verdana"/>
          <w:sz w:val="28"/>
          <w:szCs w:val="28"/>
        </w:rPr>
        <w:t xml:space="preserve">proposing restrictions on </w:t>
      </w:r>
    </w:p>
    <w:p w:rsidR="00473A7B" w:rsidRPr="00473A7B" w:rsidRDefault="00473A7B" w:rsidP="00473A7B">
      <w:pPr>
        <w:pStyle w:val="Header"/>
        <w:jc w:val="center"/>
        <w:rPr>
          <w:rFonts w:ascii="Verdana" w:hAnsi="Verdana"/>
          <w:b/>
          <w:sz w:val="28"/>
          <w:szCs w:val="28"/>
        </w:rPr>
      </w:pPr>
      <w:r w:rsidRPr="00473A7B">
        <w:rPr>
          <w:rFonts w:ascii="Verdana" w:hAnsi="Verdana"/>
          <w:b/>
          <w:sz w:val="28"/>
          <w:szCs w:val="28"/>
        </w:rPr>
        <w:t>four</w:t>
      </w:r>
      <w:r w:rsidRPr="00473A7B">
        <w:rPr>
          <w:rFonts w:ascii="Verdana" w:hAnsi="Verdana"/>
          <w:sz w:val="28"/>
          <w:szCs w:val="28"/>
        </w:rPr>
        <w:t xml:space="preserve"> </w:t>
      </w:r>
      <w:r w:rsidRPr="00473A7B">
        <w:rPr>
          <w:rFonts w:ascii="Verdana" w:hAnsi="Verdana"/>
          <w:b/>
          <w:sz w:val="28"/>
          <w:szCs w:val="28"/>
        </w:rPr>
        <w:t>phthalates</w:t>
      </w:r>
    </w:p>
    <w:p w:rsidR="00473A7B" w:rsidRDefault="00473A7B" w:rsidP="00B57DE6">
      <w:pPr>
        <w:pStyle w:val="Header"/>
        <w:jc w:val="center"/>
        <w:rPr>
          <w:rFonts w:ascii="Verdana" w:hAnsi="Verdana"/>
          <w:b/>
          <w:sz w:val="28"/>
          <w:szCs w:val="28"/>
        </w:rPr>
      </w:pPr>
    </w:p>
    <w:p w:rsidR="00192FBA" w:rsidRPr="00B57DE6" w:rsidRDefault="00192FBA" w:rsidP="00B57DE6">
      <w:pPr>
        <w:pStyle w:val="Header"/>
        <w:jc w:val="center"/>
        <w:rPr>
          <w:rFonts w:ascii="Verdana" w:hAnsi="Verdana"/>
          <w:b/>
          <w:sz w:val="28"/>
          <w:szCs w:val="28"/>
        </w:rPr>
      </w:pPr>
    </w:p>
    <w:p w:rsidR="00473A7B" w:rsidRDefault="00B57DE6" w:rsidP="00B57DE6">
      <w:pPr>
        <w:pStyle w:val="Header"/>
        <w:jc w:val="center"/>
        <w:rPr>
          <w:rFonts w:ascii="Verdana" w:hAnsi="Verdana"/>
          <w:b/>
          <w:sz w:val="28"/>
          <w:szCs w:val="28"/>
        </w:rPr>
      </w:pPr>
      <w:r w:rsidRPr="00B57DE6">
        <w:rPr>
          <w:rFonts w:ascii="Verdana" w:hAnsi="Verdana"/>
          <w:b/>
          <w:sz w:val="28"/>
          <w:szCs w:val="28"/>
        </w:rPr>
        <w:t>Table 1 (Responses to individual comments)</w:t>
      </w:r>
    </w:p>
    <w:p w:rsidR="00B57DE6" w:rsidRPr="00B57DE6" w:rsidRDefault="00990ADD" w:rsidP="00B57DE6">
      <w:pPr>
        <w:pStyle w:val="Header"/>
        <w:jc w:val="center"/>
        <w:rPr>
          <w:rFonts w:ascii="Verdana" w:hAnsi="Verdana"/>
          <w:b/>
          <w:sz w:val="28"/>
          <w:szCs w:val="28"/>
        </w:rPr>
      </w:pPr>
      <w:r>
        <w:rPr>
          <w:rFonts w:ascii="Verdana" w:hAnsi="Verdana"/>
          <w:b/>
          <w:sz w:val="28"/>
          <w:szCs w:val="28"/>
        </w:rPr>
        <w:t>Non-c</w:t>
      </w:r>
      <w:r w:rsidR="00B57DE6">
        <w:rPr>
          <w:rFonts w:ascii="Verdana" w:hAnsi="Verdana"/>
          <w:b/>
          <w:sz w:val="28"/>
          <w:szCs w:val="28"/>
        </w:rPr>
        <w:t>onfidential</w:t>
      </w:r>
    </w:p>
    <w:p w:rsidR="00473A7B" w:rsidRPr="00473A7B" w:rsidRDefault="00473A7B" w:rsidP="00473A7B">
      <w:pPr>
        <w:rPr>
          <w:rFonts w:ascii="Verdana" w:hAnsi="Verdana"/>
        </w:rPr>
      </w:pPr>
    </w:p>
    <w:p w:rsidR="00473A7B" w:rsidRPr="00473A7B" w:rsidRDefault="00473A7B" w:rsidP="00473A7B">
      <w:pPr>
        <w:rPr>
          <w:rFonts w:ascii="Verdana" w:hAnsi="Verdana"/>
        </w:rPr>
      </w:pPr>
    </w:p>
    <w:p w:rsidR="00473A7B" w:rsidRPr="00473A7B" w:rsidRDefault="00473A7B" w:rsidP="00473A7B">
      <w:pPr>
        <w:rPr>
          <w:rFonts w:ascii="Verdana" w:hAnsi="Verdana"/>
        </w:rPr>
      </w:pPr>
    </w:p>
    <w:p w:rsidR="00473A7B" w:rsidRPr="00473A7B" w:rsidRDefault="00473A7B" w:rsidP="00473A7B">
      <w:pPr>
        <w:ind w:left="357"/>
        <w:jc w:val="center"/>
        <w:rPr>
          <w:rStyle w:val="FooterChar"/>
          <w:rFonts w:ascii="Verdana" w:hAnsi="Verdana"/>
          <w:b/>
          <w:color w:val="000000"/>
        </w:rPr>
      </w:pPr>
      <w:r w:rsidRPr="00473A7B">
        <w:rPr>
          <w:rStyle w:val="FooterChar"/>
          <w:rFonts w:ascii="Verdana" w:hAnsi="Verdana"/>
          <w:b/>
          <w:color w:val="000000"/>
        </w:rPr>
        <w:t>ECHA/RAC/RES-O-0000001412-86-07/</w:t>
      </w:r>
      <w:r w:rsidR="00B90AAF">
        <w:rPr>
          <w:rStyle w:val="FooterChar"/>
          <w:rFonts w:ascii="Verdana" w:hAnsi="Verdana"/>
          <w:b/>
          <w:color w:val="000000"/>
        </w:rPr>
        <w:t>S2.1</w:t>
      </w:r>
    </w:p>
    <w:p w:rsidR="00473A7B" w:rsidRPr="00473A7B" w:rsidRDefault="00473A7B" w:rsidP="00473A7B">
      <w:pPr>
        <w:pStyle w:val="Header"/>
        <w:jc w:val="center"/>
        <w:rPr>
          <w:rFonts w:ascii="Verdana" w:hAnsi="Verdana"/>
          <w:lang w:eastAsia="en-US"/>
        </w:rPr>
      </w:pPr>
      <w:r w:rsidRPr="00473A7B">
        <w:rPr>
          <w:rFonts w:ascii="Verdana" w:hAnsi="Verdana"/>
          <w:lang w:eastAsia="en-US"/>
        </w:rPr>
        <w:t>ECHA/SEAC/[reference code to be added after the adoption of the SEAC opinion]</w:t>
      </w:r>
    </w:p>
    <w:p w:rsidR="00473A7B" w:rsidRPr="00473A7B" w:rsidRDefault="00473A7B" w:rsidP="00473A7B">
      <w:pPr>
        <w:pStyle w:val="Header"/>
        <w:rPr>
          <w:rFonts w:ascii="Verdana" w:hAnsi="Verdana"/>
          <w:lang w:eastAsia="en-US"/>
        </w:rPr>
      </w:pPr>
    </w:p>
    <w:p w:rsidR="00473A7B" w:rsidRPr="00473A7B" w:rsidRDefault="00473A7B" w:rsidP="00473A7B">
      <w:pPr>
        <w:rPr>
          <w:rFonts w:ascii="Verdana" w:hAnsi="Verdana"/>
        </w:rPr>
      </w:pPr>
    </w:p>
    <w:tbl>
      <w:tblPr>
        <w:tblW w:w="5000" w:type="pct"/>
        <w:tblLook w:val="00A0" w:firstRow="1" w:lastRow="0" w:firstColumn="1" w:lastColumn="0" w:noHBand="0" w:noVBand="0"/>
      </w:tblPr>
      <w:tblGrid>
        <w:gridCol w:w="4221"/>
        <w:gridCol w:w="2470"/>
        <w:gridCol w:w="2664"/>
      </w:tblGrid>
      <w:tr w:rsidR="00473A7B" w:rsidRPr="00473A7B" w:rsidTr="00EB27EF">
        <w:tc>
          <w:tcPr>
            <w:tcW w:w="2256" w:type="pct"/>
          </w:tcPr>
          <w:p w:rsidR="00473A7B" w:rsidRPr="00473A7B" w:rsidRDefault="00473A7B" w:rsidP="00EB27EF">
            <w:pPr>
              <w:spacing w:after="180"/>
              <w:rPr>
                <w:rFonts w:ascii="Verdana" w:hAnsi="Verdana"/>
                <w:b/>
                <w:smallCaps/>
                <w:sz w:val="28"/>
                <w:szCs w:val="28"/>
              </w:rPr>
            </w:pPr>
            <w:r w:rsidRPr="00473A7B">
              <w:rPr>
                <w:rFonts w:ascii="Verdana" w:hAnsi="Verdana"/>
                <w:b/>
                <w:smallCaps/>
                <w:sz w:val="28"/>
                <w:szCs w:val="28"/>
              </w:rPr>
              <w:t>SUBSTANCE NAME</w:t>
            </w:r>
          </w:p>
        </w:tc>
        <w:tc>
          <w:tcPr>
            <w:tcW w:w="1320" w:type="pct"/>
          </w:tcPr>
          <w:p w:rsidR="00473A7B" w:rsidRPr="00473A7B" w:rsidRDefault="00473A7B" w:rsidP="00EB27EF">
            <w:pPr>
              <w:rPr>
                <w:rFonts w:ascii="Verdana" w:hAnsi="Verdana"/>
                <w:b/>
                <w:smallCaps/>
                <w:sz w:val="28"/>
                <w:szCs w:val="28"/>
              </w:rPr>
            </w:pPr>
            <w:r w:rsidRPr="00473A7B">
              <w:rPr>
                <w:rFonts w:ascii="Verdana" w:hAnsi="Verdana"/>
                <w:b/>
                <w:smallCaps/>
                <w:sz w:val="28"/>
                <w:szCs w:val="28"/>
              </w:rPr>
              <w:t>EC NUMBER</w:t>
            </w:r>
          </w:p>
        </w:tc>
        <w:tc>
          <w:tcPr>
            <w:tcW w:w="1424" w:type="pct"/>
          </w:tcPr>
          <w:p w:rsidR="00473A7B" w:rsidRPr="00473A7B" w:rsidRDefault="00473A7B" w:rsidP="00EB27EF">
            <w:pPr>
              <w:rPr>
                <w:rFonts w:ascii="Verdana" w:hAnsi="Verdana"/>
                <w:b/>
                <w:smallCaps/>
                <w:sz w:val="28"/>
                <w:szCs w:val="28"/>
              </w:rPr>
            </w:pPr>
            <w:r w:rsidRPr="00473A7B">
              <w:rPr>
                <w:rFonts w:ascii="Verdana" w:hAnsi="Verdana"/>
                <w:b/>
                <w:smallCaps/>
                <w:sz w:val="28"/>
                <w:szCs w:val="28"/>
              </w:rPr>
              <w:t>CAS NUMBER</w:t>
            </w:r>
          </w:p>
        </w:tc>
      </w:tr>
      <w:tr w:rsidR="00473A7B" w:rsidRPr="00473A7B" w:rsidTr="00EB27EF">
        <w:tc>
          <w:tcPr>
            <w:tcW w:w="2256" w:type="pct"/>
          </w:tcPr>
          <w:p w:rsidR="00473A7B" w:rsidRPr="00473A7B" w:rsidRDefault="00473A7B" w:rsidP="00EB27EF">
            <w:pPr>
              <w:rPr>
                <w:rFonts w:ascii="Verdana" w:hAnsi="Verdana"/>
                <w:smallCaps/>
                <w:sz w:val="28"/>
                <w:szCs w:val="28"/>
              </w:rPr>
            </w:pPr>
            <w:r w:rsidRPr="00473A7B">
              <w:rPr>
                <w:rFonts w:ascii="Verdana" w:hAnsi="Verdana" w:cs="Arial"/>
                <w:szCs w:val="22"/>
              </w:rPr>
              <w:t xml:space="preserve">Bis(2-ethylhexyl) phthalate (DEHP) </w:t>
            </w:r>
          </w:p>
        </w:tc>
        <w:tc>
          <w:tcPr>
            <w:tcW w:w="1320" w:type="pct"/>
          </w:tcPr>
          <w:p w:rsidR="00473A7B" w:rsidRPr="00473A7B" w:rsidRDefault="00473A7B" w:rsidP="00EB27EF">
            <w:pPr>
              <w:rPr>
                <w:rFonts w:ascii="Verdana" w:hAnsi="Verdana"/>
                <w:smallCaps/>
                <w:sz w:val="28"/>
                <w:szCs w:val="28"/>
              </w:rPr>
            </w:pPr>
            <w:r w:rsidRPr="00473A7B">
              <w:rPr>
                <w:rFonts w:ascii="Verdana" w:hAnsi="Verdana" w:cs="Arial"/>
                <w:szCs w:val="22"/>
              </w:rPr>
              <w:t>204-211-0</w:t>
            </w:r>
          </w:p>
        </w:tc>
        <w:tc>
          <w:tcPr>
            <w:tcW w:w="1424" w:type="pct"/>
          </w:tcPr>
          <w:p w:rsidR="00473A7B" w:rsidRPr="00473A7B" w:rsidRDefault="00473A7B" w:rsidP="00EB27EF">
            <w:pPr>
              <w:rPr>
                <w:rFonts w:ascii="Verdana" w:hAnsi="Verdana"/>
                <w:smallCaps/>
                <w:sz w:val="28"/>
                <w:szCs w:val="28"/>
              </w:rPr>
            </w:pPr>
            <w:r w:rsidRPr="00473A7B">
              <w:rPr>
                <w:rFonts w:ascii="Verdana" w:hAnsi="Verdana" w:cs="Arial"/>
                <w:szCs w:val="22"/>
              </w:rPr>
              <w:t>117-81-7</w:t>
            </w:r>
          </w:p>
        </w:tc>
      </w:tr>
      <w:tr w:rsidR="00473A7B" w:rsidRPr="00473A7B" w:rsidTr="00EB27EF">
        <w:tc>
          <w:tcPr>
            <w:tcW w:w="2256" w:type="pct"/>
          </w:tcPr>
          <w:p w:rsidR="00473A7B" w:rsidRPr="00473A7B" w:rsidRDefault="00473A7B" w:rsidP="00EB27EF">
            <w:pPr>
              <w:rPr>
                <w:rFonts w:ascii="Verdana" w:hAnsi="Verdana"/>
                <w:smallCaps/>
                <w:sz w:val="28"/>
                <w:szCs w:val="28"/>
              </w:rPr>
            </w:pPr>
            <w:r w:rsidRPr="00473A7B">
              <w:rPr>
                <w:rFonts w:ascii="Verdana" w:hAnsi="Verdana" w:cs="Arial"/>
                <w:szCs w:val="22"/>
              </w:rPr>
              <w:t xml:space="preserve">Benzyl butyl phthalate (BBP) </w:t>
            </w:r>
          </w:p>
        </w:tc>
        <w:tc>
          <w:tcPr>
            <w:tcW w:w="1320" w:type="pct"/>
          </w:tcPr>
          <w:p w:rsidR="00473A7B" w:rsidRPr="00473A7B" w:rsidRDefault="00473A7B" w:rsidP="00EB27EF">
            <w:pPr>
              <w:rPr>
                <w:rFonts w:ascii="Verdana" w:hAnsi="Verdana"/>
                <w:smallCaps/>
                <w:sz w:val="28"/>
                <w:szCs w:val="28"/>
              </w:rPr>
            </w:pPr>
            <w:r w:rsidRPr="00473A7B">
              <w:rPr>
                <w:rFonts w:ascii="Verdana" w:hAnsi="Verdana" w:cs="Arial"/>
                <w:szCs w:val="22"/>
              </w:rPr>
              <w:t>201-622-7</w:t>
            </w:r>
          </w:p>
        </w:tc>
        <w:tc>
          <w:tcPr>
            <w:tcW w:w="1424" w:type="pct"/>
          </w:tcPr>
          <w:p w:rsidR="00473A7B" w:rsidRPr="00473A7B" w:rsidRDefault="00473A7B" w:rsidP="00EB27EF">
            <w:pPr>
              <w:rPr>
                <w:rFonts w:ascii="Verdana" w:hAnsi="Verdana"/>
              </w:rPr>
            </w:pPr>
            <w:r w:rsidRPr="00473A7B">
              <w:rPr>
                <w:rFonts w:ascii="Verdana" w:hAnsi="Verdana" w:cs="Arial"/>
                <w:szCs w:val="22"/>
              </w:rPr>
              <w:t>85-68-7</w:t>
            </w:r>
          </w:p>
        </w:tc>
      </w:tr>
      <w:tr w:rsidR="00473A7B" w:rsidRPr="00473A7B" w:rsidTr="00EB27EF">
        <w:tc>
          <w:tcPr>
            <w:tcW w:w="2256" w:type="pct"/>
          </w:tcPr>
          <w:p w:rsidR="00473A7B" w:rsidRPr="00473A7B" w:rsidRDefault="00473A7B" w:rsidP="00EB27EF">
            <w:pPr>
              <w:ind w:right="-108"/>
              <w:rPr>
                <w:rFonts w:ascii="Verdana" w:hAnsi="Verdana"/>
                <w:smallCaps/>
                <w:sz w:val="28"/>
                <w:szCs w:val="28"/>
              </w:rPr>
            </w:pPr>
            <w:r w:rsidRPr="00473A7B">
              <w:rPr>
                <w:rFonts w:ascii="Verdana" w:hAnsi="Verdana" w:cs="Arial"/>
                <w:szCs w:val="22"/>
              </w:rPr>
              <w:t xml:space="preserve">Dibutyl phthalate (DBP) </w:t>
            </w:r>
          </w:p>
        </w:tc>
        <w:tc>
          <w:tcPr>
            <w:tcW w:w="1320" w:type="pct"/>
          </w:tcPr>
          <w:p w:rsidR="00473A7B" w:rsidRPr="00473A7B" w:rsidRDefault="00473A7B" w:rsidP="00EB27EF">
            <w:pPr>
              <w:rPr>
                <w:rFonts w:ascii="Verdana" w:hAnsi="Verdana"/>
                <w:smallCaps/>
                <w:sz w:val="28"/>
                <w:szCs w:val="28"/>
              </w:rPr>
            </w:pPr>
            <w:r w:rsidRPr="00473A7B">
              <w:rPr>
                <w:rFonts w:ascii="Verdana" w:hAnsi="Verdana" w:cs="Arial"/>
                <w:szCs w:val="22"/>
              </w:rPr>
              <w:t>201-557-4</w:t>
            </w:r>
          </w:p>
        </w:tc>
        <w:tc>
          <w:tcPr>
            <w:tcW w:w="1424" w:type="pct"/>
          </w:tcPr>
          <w:p w:rsidR="00473A7B" w:rsidRPr="00473A7B" w:rsidRDefault="00473A7B" w:rsidP="00EB27EF">
            <w:pPr>
              <w:rPr>
                <w:rFonts w:ascii="Verdana" w:hAnsi="Verdana"/>
                <w:smallCaps/>
                <w:sz w:val="28"/>
                <w:szCs w:val="28"/>
              </w:rPr>
            </w:pPr>
            <w:r w:rsidRPr="00473A7B">
              <w:rPr>
                <w:rFonts w:ascii="Verdana" w:hAnsi="Verdana" w:cs="Arial"/>
                <w:szCs w:val="22"/>
              </w:rPr>
              <w:t>84-74-2</w:t>
            </w:r>
          </w:p>
        </w:tc>
      </w:tr>
      <w:tr w:rsidR="00473A7B" w:rsidRPr="00473A7B" w:rsidTr="00EB27EF">
        <w:tc>
          <w:tcPr>
            <w:tcW w:w="2256" w:type="pct"/>
          </w:tcPr>
          <w:p w:rsidR="00473A7B" w:rsidRPr="00473A7B" w:rsidRDefault="00473A7B" w:rsidP="00EB27EF">
            <w:pPr>
              <w:rPr>
                <w:rFonts w:ascii="Verdana" w:hAnsi="Verdana"/>
                <w:smallCaps/>
                <w:sz w:val="28"/>
                <w:szCs w:val="28"/>
              </w:rPr>
            </w:pPr>
            <w:r w:rsidRPr="00473A7B">
              <w:rPr>
                <w:rFonts w:ascii="Verdana" w:hAnsi="Verdana" w:cs="Arial"/>
                <w:szCs w:val="22"/>
              </w:rPr>
              <w:t xml:space="preserve">Diisobutyl phthalate (DIBP) </w:t>
            </w:r>
          </w:p>
        </w:tc>
        <w:tc>
          <w:tcPr>
            <w:tcW w:w="1320" w:type="pct"/>
          </w:tcPr>
          <w:p w:rsidR="00473A7B" w:rsidRPr="00473A7B" w:rsidRDefault="00473A7B" w:rsidP="00EB27EF">
            <w:pPr>
              <w:rPr>
                <w:rFonts w:ascii="Verdana" w:hAnsi="Verdana"/>
                <w:smallCaps/>
                <w:sz w:val="28"/>
                <w:szCs w:val="28"/>
              </w:rPr>
            </w:pPr>
            <w:r w:rsidRPr="00473A7B">
              <w:rPr>
                <w:rFonts w:ascii="Verdana" w:hAnsi="Verdana" w:cs="Arial"/>
                <w:szCs w:val="22"/>
              </w:rPr>
              <w:t>201-553-2</w:t>
            </w:r>
          </w:p>
        </w:tc>
        <w:tc>
          <w:tcPr>
            <w:tcW w:w="1424" w:type="pct"/>
          </w:tcPr>
          <w:p w:rsidR="00473A7B" w:rsidRPr="00473A7B" w:rsidRDefault="00473A7B" w:rsidP="00EB27EF">
            <w:pPr>
              <w:rPr>
                <w:rFonts w:ascii="Verdana" w:hAnsi="Verdana"/>
              </w:rPr>
            </w:pPr>
            <w:r w:rsidRPr="00473A7B">
              <w:rPr>
                <w:rFonts w:ascii="Verdana" w:hAnsi="Verdana" w:cs="Arial"/>
                <w:szCs w:val="22"/>
              </w:rPr>
              <w:t>84-69-5</w:t>
            </w:r>
          </w:p>
        </w:tc>
      </w:tr>
    </w:tbl>
    <w:p w:rsidR="00473A7B" w:rsidRPr="00473A7B" w:rsidRDefault="00473A7B" w:rsidP="00473A7B">
      <w:pPr>
        <w:rPr>
          <w:rFonts w:ascii="Verdana" w:hAnsi="Verdana"/>
        </w:rPr>
      </w:pPr>
    </w:p>
    <w:p w:rsidR="00473A7B" w:rsidRPr="00473A7B" w:rsidRDefault="00473A7B" w:rsidP="00473A7B">
      <w:pPr>
        <w:rPr>
          <w:rFonts w:ascii="Verdana" w:hAnsi="Verdana"/>
        </w:rPr>
      </w:pPr>
    </w:p>
    <w:p w:rsidR="00473A7B" w:rsidRPr="00473A7B" w:rsidRDefault="00473A7B" w:rsidP="00473A7B">
      <w:pPr>
        <w:rPr>
          <w:rFonts w:ascii="Verdana" w:hAnsi="Verdana"/>
        </w:rPr>
      </w:pPr>
    </w:p>
    <w:p w:rsidR="00473A7B" w:rsidRPr="00473A7B" w:rsidRDefault="00473A7B" w:rsidP="00473A7B">
      <w:pPr>
        <w:rPr>
          <w:rFonts w:ascii="Verdana" w:hAnsi="Verdana"/>
        </w:rPr>
      </w:pPr>
    </w:p>
    <w:p w:rsidR="00473A7B" w:rsidRPr="00473A7B" w:rsidRDefault="00473A7B" w:rsidP="00473A7B">
      <w:pPr>
        <w:rPr>
          <w:rFonts w:ascii="Verdana" w:hAnsi="Verdana"/>
        </w:rPr>
      </w:pPr>
    </w:p>
    <w:p w:rsidR="00473A7B" w:rsidRPr="00473A7B" w:rsidRDefault="00473A7B" w:rsidP="00473A7B">
      <w:pPr>
        <w:rPr>
          <w:rFonts w:ascii="Verdana" w:hAnsi="Verdana"/>
        </w:rPr>
      </w:pPr>
    </w:p>
    <w:p w:rsidR="00473A7B" w:rsidRPr="00473A7B" w:rsidRDefault="00C71184" w:rsidP="00473A7B">
      <w:pPr>
        <w:pStyle w:val="Header"/>
        <w:ind w:left="360"/>
        <w:jc w:val="center"/>
        <w:rPr>
          <w:rFonts w:ascii="Verdana" w:hAnsi="Verdana"/>
          <w:b/>
          <w:sz w:val="32"/>
          <w:szCs w:val="32"/>
        </w:rPr>
      </w:pPr>
      <w:r>
        <w:rPr>
          <w:rFonts w:ascii="Verdana" w:hAnsi="Verdana"/>
          <w:b/>
          <w:sz w:val="32"/>
          <w:szCs w:val="32"/>
        </w:rPr>
        <w:t>13</w:t>
      </w:r>
      <w:r w:rsidRPr="00473A7B">
        <w:rPr>
          <w:rFonts w:ascii="Verdana" w:hAnsi="Verdana"/>
          <w:b/>
          <w:sz w:val="32"/>
          <w:szCs w:val="32"/>
        </w:rPr>
        <w:t xml:space="preserve"> </w:t>
      </w:r>
      <w:r w:rsidR="00473A7B" w:rsidRPr="00473A7B">
        <w:rPr>
          <w:rFonts w:ascii="Verdana" w:hAnsi="Verdana"/>
          <w:b/>
          <w:sz w:val="32"/>
          <w:szCs w:val="32"/>
        </w:rPr>
        <w:t xml:space="preserve">July 2012 </w:t>
      </w:r>
    </w:p>
    <w:p w:rsidR="00473A7B" w:rsidRPr="00473A7B" w:rsidRDefault="00473A7B" w:rsidP="00473A7B">
      <w:pPr>
        <w:jc w:val="right"/>
        <w:rPr>
          <w:rFonts w:ascii="Verdana" w:hAnsi="Verdana"/>
          <w:b/>
          <w:i/>
        </w:rPr>
      </w:pPr>
    </w:p>
    <w:p w:rsidR="00473A7B" w:rsidRPr="00473A7B" w:rsidRDefault="00473A7B" w:rsidP="00473A7B">
      <w:pPr>
        <w:rPr>
          <w:rFonts w:ascii="Verdana" w:hAnsi="Verdana"/>
          <w:b/>
          <w:i/>
        </w:rPr>
      </w:pPr>
    </w:p>
    <w:p w:rsidR="00473A7B" w:rsidRPr="00473A7B" w:rsidRDefault="00473A7B" w:rsidP="00473A7B">
      <w:pPr>
        <w:jc w:val="right"/>
        <w:rPr>
          <w:rFonts w:ascii="Verdana" w:hAnsi="Verdana"/>
          <w:b/>
          <w:i/>
        </w:rPr>
      </w:pPr>
    </w:p>
    <w:p w:rsidR="00473A7B" w:rsidRPr="00473A7B" w:rsidRDefault="00473A7B" w:rsidP="00473A7B">
      <w:pPr>
        <w:jc w:val="right"/>
        <w:rPr>
          <w:rFonts w:ascii="Verdana" w:hAnsi="Verdana"/>
          <w:b/>
          <w:i/>
        </w:rPr>
      </w:pPr>
    </w:p>
    <w:p w:rsidR="00473A7B" w:rsidRPr="00473A7B" w:rsidRDefault="00473A7B" w:rsidP="00473A7B">
      <w:pPr>
        <w:jc w:val="right"/>
        <w:rPr>
          <w:rFonts w:ascii="Verdana" w:hAnsi="Verdana"/>
          <w:b/>
          <w:i/>
        </w:rPr>
      </w:pPr>
    </w:p>
    <w:p w:rsidR="00473A7B" w:rsidRPr="00473A7B" w:rsidRDefault="00473A7B" w:rsidP="00473A7B">
      <w:pPr>
        <w:autoSpaceDE w:val="0"/>
        <w:autoSpaceDN w:val="0"/>
        <w:adjustRightInd w:val="0"/>
        <w:jc w:val="center"/>
        <w:rPr>
          <w:rFonts w:ascii="Verdana" w:hAnsi="Verdana" w:cs="Arial"/>
          <w:color w:val="000000"/>
          <w:sz w:val="16"/>
          <w:szCs w:val="16"/>
        </w:rPr>
      </w:pPr>
      <w:r w:rsidRPr="00473A7B">
        <w:rPr>
          <w:rFonts w:ascii="Verdana" w:hAnsi="Verdana" w:cs="Arial"/>
          <w:color w:val="000000"/>
          <w:sz w:val="16"/>
          <w:szCs w:val="16"/>
        </w:rPr>
        <w:t xml:space="preserve">Annankatu 18 | </w:t>
      </w:r>
      <w:smartTag w:uri="urn:schemas-microsoft-com:office:smarttags" w:element="address">
        <w:smartTag w:uri="urn:schemas-microsoft-com:office:smarttags" w:element="Street">
          <w:r w:rsidRPr="00473A7B">
            <w:rPr>
              <w:rFonts w:ascii="Verdana" w:hAnsi="Verdana" w:cs="Arial"/>
              <w:color w:val="000000"/>
              <w:sz w:val="16"/>
              <w:szCs w:val="16"/>
            </w:rPr>
            <w:t>P.O. Box</w:t>
          </w:r>
        </w:smartTag>
        <w:r w:rsidRPr="00473A7B">
          <w:rPr>
            <w:rFonts w:ascii="Verdana" w:hAnsi="Verdana" w:cs="Arial"/>
            <w:color w:val="000000"/>
            <w:sz w:val="16"/>
            <w:szCs w:val="16"/>
          </w:rPr>
          <w:t xml:space="preserve"> 400</w:t>
        </w:r>
      </w:smartTag>
      <w:r w:rsidRPr="00473A7B">
        <w:rPr>
          <w:rFonts w:ascii="Verdana" w:hAnsi="Verdana" w:cs="Arial"/>
          <w:color w:val="000000"/>
          <w:sz w:val="16"/>
          <w:szCs w:val="16"/>
        </w:rPr>
        <w:t xml:space="preserve"> | 00121 </w:t>
      </w:r>
      <w:smartTag w:uri="urn:schemas-microsoft-com:office:smarttags" w:element="City">
        <w:r w:rsidRPr="00473A7B">
          <w:rPr>
            <w:rFonts w:ascii="Verdana" w:hAnsi="Verdana" w:cs="Arial"/>
            <w:color w:val="000000"/>
            <w:sz w:val="16"/>
            <w:szCs w:val="16"/>
          </w:rPr>
          <w:t>Helsinki</w:t>
        </w:r>
      </w:smartTag>
      <w:r w:rsidRPr="00473A7B">
        <w:rPr>
          <w:rFonts w:ascii="Verdana" w:hAnsi="Verdana" w:cs="Arial"/>
          <w:color w:val="000000"/>
          <w:sz w:val="16"/>
          <w:szCs w:val="16"/>
        </w:rPr>
        <w:t xml:space="preserve"> | </w:t>
      </w:r>
      <w:smartTag w:uri="urn:schemas-microsoft-com:office:smarttags" w:element="country-region">
        <w:smartTag w:uri="urn:schemas-microsoft-com:office:smarttags" w:element="place">
          <w:r w:rsidRPr="00473A7B">
            <w:rPr>
              <w:rFonts w:ascii="Verdana" w:hAnsi="Verdana" w:cs="Arial"/>
              <w:color w:val="000000"/>
              <w:sz w:val="16"/>
              <w:szCs w:val="16"/>
            </w:rPr>
            <w:t>Finland</w:t>
          </w:r>
        </w:smartTag>
      </w:smartTag>
    </w:p>
    <w:p w:rsidR="00473A7B" w:rsidRPr="00473A7B" w:rsidRDefault="00473A7B" w:rsidP="00473A7B">
      <w:pPr>
        <w:pStyle w:val="Header"/>
        <w:jc w:val="center"/>
        <w:rPr>
          <w:rFonts w:ascii="Verdana" w:hAnsi="Verdana"/>
          <w:b/>
          <w:sz w:val="16"/>
          <w:szCs w:val="16"/>
        </w:rPr>
      </w:pPr>
      <w:r w:rsidRPr="00473A7B">
        <w:rPr>
          <w:rFonts w:ascii="Verdana" w:hAnsi="Verdana" w:cs="Arial"/>
          <w:sz w:val="16"/>
          <w:szCs w:val="16"/>
        </w:rPr>
        <w:t xml:space="preserve">www.echa.eu </w:t>
      </w:r>
      <w:r w:rsidRPr="00473A7B">
        <w:rPr>
          <w:rFonts w:ascii="Verdana" w:hAnsi="Verdana" w:cs="TimesNewRomanPSMT"/>
          <w:color w:val="000000"/>
          <w:sz w:val="16"/>
          <w:szCs w:val="16"/>
        </w:rPr>
        <w:t xml:space="preserve">| </w:t>
      </w:r>
      <w:r w:rsidRPr="00473A7B">
        <w:rPr>
          <w:rFonts w:ascii="Verdana" w:hAnsi="Verdana" w:cs="Arial"/>
          <w:color w:val="000000"/>
          <w:sz w:val="16"/>
          <w:szCs w:val="16"/>
        </w:rPr>
        <w:t>Tel.: + 358 9 68.61.80</w:t>
      </w:r>
    </w:p>
    <w:p w:rsidR="00473A7B" w:rsidRDefault="00473A7B" w:rsidP="00473A7B">
      <w:pPr>
        <w:jc w:val="right"/>
        <w:rPr>
          <w:b/>
          <w:i/>
        </w:rPr>
      </w:pPr>
    </w:p>
    <w:p w:rsidR="00473A7B" w:rsidRDefault="00473A7B" w:rsidP="00473A7B">
      <w:pPr>
        <w:jc w:val="center"/>
        <w:rPr>
          <w:b/>
          <w:i/>
        </w:rPr>
        <w:sectPr w:rsidR="00473A7B" w:rsidSect="004511B3">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851" w:left="1418" w:header="856" w:footer="567" w:gutter="0"/>
          <w:cols w:space="708"/>
          <w:titlePg/>
        </w:sectPr>
      </w:pPr>
    </w:p>
    <w:p w:rsidR="00473A7B" w:rsidRDefault="00473A7B" w:rsidP="00473A7B">
      <w:pPr>
        <w:rPr>
          <w:b/>
          <w:i/>
        </w:rPr>
      </w:pPr>
    </w:p>
    <w:p w:rsidR="00473A7B" w:rsidRPr="003D6362" w:rsidRDefault="00473A7B" w:rsidP="00473A7B">
      <w:pPr>
        <w:rPr>
          <w:b/>
          <w:sz w:val="40"/>
          <w:szCs w:val="40"/>
        </w:rPr>
      </w:pPr>
      <w:r w:rsidRPr="003D6362">
        <w:rPr>
          <w:b/>
          <w:sz w:val="40"/>
          <w:szCs w:val="40"/>
        </w:rPr>
        <w:t>Reader’s guide</w:t>
      </w:r>
    </w:p>
    <w:p w:rsidR="00473A7B" w:rsidRDefault="00473A7B" w:rsidP="00473A7B">
      <w:pPr>
        <w:rPr>
          <w:rFonts w:cs="Arial"/>
          <w:szCs w:val="20"/>
        </w:rPr>
      </w:pPr>
    </w:p>
    <w:p w:rsidR="00473A7B" w:rsidRPr="00473A7B" w:rsidRDefault="00473A7B" w:rsidP="00473A7B">
      <w:pPr>
        <w:jc w:val="both"/>
        <w:rPr>
          <w:rFonts w:ascii="Verdana" w:hAnsi="Verdana" w:cs="Arial"/>
          <w:sz w:val="20"/>
          <w:szCs w:val="20"/>
        </w:rPr>
      </w:pPr>
      <w:r w:rsidRPr="00473A7B">
        <w:rPr>
          <w:rFonts w:ascii="Verdana" w:hAnsi="Verdana" w:cs="Arial"/>
          <w:sz w:val="20"/>
          <w:szCs w:val="20"/>
        </w:rPr>
        <w:t>Received comments have been compiled in two separate groups:</w:t>
      </w:r>
    </w:p>
    <w:p w:rsidR="00473A7B" w:rsidRPr="00473A7B" w:rsidRDefault="00473A7B" w:rsidP="00164F82">
      <w:pPr>
        <w:numPr>
          <w:ilvl w:val="0"/>
          <w:numId w:val="2"/>
        </w:numPr>
        <w:jc w:val="both"/>
        <w:rPr>
          <w:rFonts w:ascii="Verdana" w:hAnsi="Verdana" w:cs="Arial"/>
          <w:sz w:val="20"/>
          <w:szCs w:val="20"/>
        </w:rPr>
      </w:pPr>
      <w:r w:rsidRPr="00473A7B">
        <w:rPr>
          <w:rFonts w:ascii="Verdana" w:hAnsi="Verdana" w:cs="Arial"/>
          <w:sz w:val="20"/>
          <w:szCs w:val="20"/>
        </w:rPr>
        <w:t>confidential comments;</w:t>
      </w:r>
    </w:p>
    <w:p w:rsidR="00473A7B" w:rsidRPr="00473A7B" w:rsidRDefault="00473A7B" w:rsidP="00164F82">
      <w:pPr>
        <w:numPr>
          <w:ilvl w:val="0"/>
          <w:numId w:val="2"/>
        </w:numPr>
        <w:jc w:val="both"/>
        <w:rPr>
          <w:rFonts w:ascii="Verdana" w:hAnsi="Verdana" w:cs="Arial"/>
          <w:sz w:val="20"/>
          <w:szCs w:val="20"/>
        </w:rPr>
      </w:pPr>
      <w:r w:rsidRPr="00473A7B">
        <w:rPr>
          <w:rFonts w:ascii="Verdana" w:hAnsi="Verdana" w:cs="Arial"/>
          <w:sz w:val="20"/>
          <w:szCs w:val="20"/>
        </w:rPr>
        <w:t>non – confidential  comments.</w:t>
      </w:r>
    </w:p>
    <w:p w:rsidR="00473A7B" w:rsidRPr="00473A7B" w:rsidRDefault="00473A7B" w:rsidP="00473A7B">
      <w:pPr>
        <w:jc w:val="both"/>
        <w:rPr>
          <w:rFonts w:ascii="Verdana" w:hAnsi="Verdana" w:cs="Arial"/>
          <w:sz w:val="20"/>
          <w:szCs w:val="20"/>
        </w:rPr>
      </w:pPr>
      <w:r w:rsidRPr="00473A7B">
        <w:rPr>
          <w:rFonts w:ascii="Verdana" w:hAnsi="Verdana" w:cs="Arial"/>
          <w:sz w:val="20"/>
          <w:szCs w:val="20"/>
        </w:rPr>
        <w:t>For each group there is a Table 0 (Compilation of all comments), Table 1 (Responses to individual comments) and Table 2 (Responses by subject). Only non-confidential tables are published on the website.</w:t>
      </w:r>
    </w:p>
    <w:p w:rsidR="00473A7B" w:rsidRPr="00473A7B" w:rsidRDefault="00473A7B" w:rsidP="00473A7B">
      <w:pPr>
        <w:jc w:val="both"/>
        <w:rPr>
          <w:rFonts w:ascii="Verdana" w:hAnsi="Verdana" w:cs="Arial"/>
          <w:sz w:val="20"/>
          <w:szCs w:val="20"/>
        </w:rPr>
      </w:pPr>
    </w:p>
    <w:p w:rsidR="00473A7B" w:rsidRPr="00473A7B" w:rsidRDefault="00473A7B" w:rsidP="00473A7B">
      <w:pPr>
        <w:jc w:val="both"/>
        <w:rPr>
          <w:rFonts w:ascii="Verdana" w:hAnsi="Verdana" w:cs="Arial"/>
          <w:sz w:val="20"/>
          <w:szCs w:val="20"/>
        </w:rPr>
      </w:pPr>
      <w:r w:rsidRPr="00473A7B">
        <w:rPr>
          <w:rFonts w:ascii="Verdana" w:hAnsi="Verdana" w:cs="Arial"/>
          <w:sz w:val="20"/>
          <w:szCs w:val="20"/>
        </w:rPr>
        <w:t xml:space="preserve">Table 0 contains all received comments </w:t>
      </w:r>
      <w:r w:rsidRPr="00473A7B">
        <w:rPr>
          <w:rFonts w:ascii="Verdana" w:hAnsi="Verdana"/>
          <w:sz w:val="20"/>
          <w:szCs w:val="20"/>
        </w:rPr>
        <w:t>in submission order by date.</w:t>
      </w:r>
    </w:p>
    <w:p w:rsidR="00473A7B" w:rsidRPr="00473A7B" w:rsidRDefault="00473A7B" w:rsidP="00473A7B">
      <w:pPr>
        <w:jc w:val="both"/>
        <w:rPr>
          <w:rFonts w:ascii="Verdana" w:hAnsi="Verdana" w:cs="Arial"/>
          <w:sz w:val="20"/>
          <w:szCs w:val="20"/>
        </w:rPr>
      </w:pPr>
    </w:p>
    <w:p w:rsidR="00473A7B" w:rsidRPr="00473A7B" w:rsidRDefault="00473A7B" w:rsidP="00473A7B">
      <w:pPr>
        <w:jc w:val="both"/>
        <w:rPr>
          <w:rFonts w:ascii="Verdana" w:hAnsi="Verdana" w:cs="Arial"/>
          <w:sz w:val="20"/>
          <w:szCs w:val="20"/>
        </w:rPr>
      </w:pPr>
      <w:r w:rsidRPr="00473A7B">
        <w:rPr>
          <w:rFonts w:ascii="Verdana" w:hAnsi="Verdana" w:cs="Arial"/>
          <w:sz w:val="20"/>
          <w:szCs w:val="20"/>
        </w:rPr>
        <w:t>Table 1 contains comments to specific issues together with responses from the Dossier Submitter (DS) and the rapporteurs from the Committee for Risk Assessment (RAC) and the Committee for Socio-economic Analysis (SEAC).</w:t>
      </w:r>
    </w:p>
    <w:p w:rsidR="00473A7B" w:rsidRPr="00473A7B" w:rsidRDefault="00473A7B" w:rsidP="00473A7B">
      <w:pPr>
        <w:jc w:val="both"/>
        <w:rPr>
          <w:rFonts w:ascii="Verdana" w:hAnsi="Verdana" w:cs="Arial"/>
          <w:sz w:val="20"/>
          <w:szCs w:val="20"/>
        </w:rPr>
      </w:pPr>
    </w:p>
    <w:p w:rsidR="00473A7B" w:rsidRPr="00473A7B" w:rsidRDefault="00473A7B" w:rsidP="00473A7B">
      <w:pPr>
        <w:jc w:val="both"/>
        <w:rPr>
          <w:rFonts w:ascii="Verdana" w:hAnsi="Verdana" w:cs="Arial"/>
          <w:sz w:val="20"/>
          <w:szCs w:val="20"/>
        </w:rPr>
      </w:pPr>
      <w:r w:rsidRPr="00473A7B">
        <w:rPr>
          <w:rFonts w:ascii="Verdana" w:hAnsi="Verdana" w:cs="Arial"/>
          <w:sz w:val="20"/>
          <w:szCs w:val="20"/>
        </w:rPr>
        <w:t>Responses to comments in Table 2 are grouped according to the content of the comment. As several submitted comments cover the same topic, the following horizontal issues were identified (please see the list below). For ease of reference responses by DS and the Rapporteurs have been shaded in grey.</w:t>
      </w:r>
    </w:p>
    <w:p w:rsidR="00473A7B" w:rsidRDefault="00473A7B" w:rsidP="00473A7B">
      <w:pPr>
        <w:rPr>
          <w:rFonts w:cs="Arial"/>
          <w:szCs w:val="20"/>
        </w:rPr>
      </w:pPr>
    </w:p>
    <w:p w:rsidR="00473A7B" w:rsidRPr="00473A7B" w:rsidRDefault="00473A7B" w:rsidP="00473A7B">
      <w:pPr>
        <w:jc w:val="both"/>
        <w:rPr>
          <w:rFonts w:ascii="Verdana" w:hAnsi="Verdana" w:cs="Arial"/>
          <w:sz w:val="20"/>
          <w:szCs w:val="20"/>
        </w:rPr>
      </w:pPr>
    </w:p>
    <w:p w:rsidR="00473A7B" w:rsidRPr="00473A7B" w:rsidRDefault="00473A7B" w:rsidP="00473A7B">
      <w:pPr>
        <w:jc w:val="both"/>
        <w:rPr>
          <w:rFonts w:ascii="Verdana" w:hAnsi="Verdana" w:cs="Arial"/>
          <w:b/>
          <w:sz w:val="20"/>
          <w:szCs w:val="20"/>
        </w:rPr>
      </w:pPr>
      <w:r w:rsidRPr="00473A7B">
        <w:rPr>
          <w:rFonts w:ascii="Verdana" w:hAnsi="Verdana" w:cs="Arial"/>
          <w:b/>
          <w:sz w:val="20"/>
          <w:szCs w:val="20"/>
        </w:rPr>
        <w:t>Horizontal issues covered by Table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8240"/>
      </w:tblGrid>
      <w:tr w:rsidR="00473A7B" w:rsidRPr="00380AA2" w:rsidTr="00380AA2">
        <w:tc>
          <w:tcPr>
            <w:tcW w:w="591" w:type="pct"/>
          </w:tcPr>
          <w:p w:rsidR="00473A7B" w:rsidRPr="00380AA2" w:rsidRDefault="00473A7B" w:rsidP="00EB27EF">
            <w:pPr>
              <w:rPr>
                <w:rFonts w:ascii="Verdana" w:hAnsi="Verdana" w:cs="Arial"/>
                <w:sz w:val="20"/>
                <w:szCs w:val="20"/>
              </w:rPr>
            </w:pPr>
            <w:r w:rsidRPr="00380AA2">
              <w:rPr>
                <w:rFonts w:ascii="Verdana" w:hAnsi="Verdana" w:cs="Arial"/>
                <w:sz w:val="20"/>
                <w:szCs w:val="20"/>
              </w:rPr>
              <w:t>H 01</w:t>
            </w:r>
          </w:p>
        </w:tc>
        <w:tc>
          <w:tcPr>
            <w:tcW w:w="4409" w:type="pct"/>
          </w:tcPr>
          <w:p w:rsidR="00473A7B" w:rsidRPr="00380AA2" w:rsidRDefault="00473A7B" w:rsidP="00EB27EF">
            <w:pPr>
              <w:rPr>
                <w:rFonts w:ascii="Verdana" w:hAnsi="Verdana" w:cs="Arial"/>
                <w:sz w:val="20"/>
                <w:szCs w:val="20"/>
              </w:rPr>
            </w:pPr>
            <w:r w:rsidRPr="00380AA2">
              <w:rPr>
                <w:rFonts w:ascii="Verdana" w:hAnsi="Verdana" w:cs="Arial"/>
                <w:sz w:val="20"/>
                <w:szCs w:val="20"/>
              </w:rPr>
              <w:t xml:space="preserve">Appropriateness of the risk management measure (RMM) – restriction versus authorisation </w:t>
            </w:r>
          </w:p>
        </w:tc>
      </w:tr>
      <w:tr w:rsidR="00473A7B" w:rsidRPr="00380AA2" w:rsidTr="00380AA2">
        <w:tc>
          <w:tcPr>
            <w:tcW w:w="591" w:type="pct"/>
          </w:tcPr>
          <w:p w:rsidR="00473A7B" w:rsidRPr="00380AA2" w:rsidRDefault="00473A7B" w:rsidP="00EB27EF">
            <w:pPr>
              <w:rPr>
                <w:rFonts w:ascii="Verdana" w:hAnsi="Verdana" w:cs="Arial"/>
                <w:sz w:val="20"/>
                <w:szCs w:val="20"/>
              </w:rPr>
            </w:pPr>
            <w:r w:rsidRPr="00380AA2">
              <w:rPr>
                <w:rFonts w:ascii="Verdana" w:hAnsi="Verdana" w:cs="Arial"/>
                <w:sz w:val="20"/>
                <w:szCs w:val="20"/>
              </w:rPr>
              <w:t>H 02</w:t>
            </w:r>
          </w:p>
        </w:tc>
        <w:tc>
          <w:tcPr>
            <w:tcW w:w="4409" w:type="pct"/>
          </w:tcPr>
          <w:p w:rsidR="00473A7B" w:rsidRPr="00380AA2" w:rsidRDefault="00473A7B" w:rsidP="00EB27EF">
            <w:pPr>
              <w:rPr>
                <w:rFonts w:ascii="Verdana" w:hAnsi="Verdana" w:cs="Arial"/>
                <w:sz w:val="20"/>
                <w:szCs w:val="20"/>
              </w:rPr>
            </w:pPr>
            <w:r w:rsidRPr="00380AA2">
              <w:rPr>
                <w:rFonts w:ascii="Verdana" w:hAnsi="Verdana" w:cs="Arial"/>
                <w:sz w:val="20"/>
                <w:szCs w:val="20"/>
              </w:rPr>
              <w:t>Aerospace industry – need for derogation</w:t>
            </w:r>
          </w:p>
        </w:tc>
      </w:tr>
      <w:tr w:rsidR="00473A7B" w:rsidRPr="00380AA2" w:rsidTr="00380AA2">
        <w:tc>
          <w:tcPr>
            <w:tcW w:w="591" w:type="pct"/>
          </w:tcPr>
          <w:p w:rsidR="00473A7B" w:rsidRPr="00380AA2" w:rsidRDefault="00473A7B" w:rsidP="00EB27EF">
            <w:pPr>
              <w:rPr>
                <w:rFonts w:ascii="Verdana" w:hAnsi="Verdana" w:cs="Arial"/>
                <w:sz w:val="20"/>
                <w:szCs w:val="20"/>
              </w:rPr>
            </w:pPr>
            <w:r w:rsidRPr="00380AA2">
              <w:rPr>
                <w:rFonts w:ascii="Verdana" w:hAnsi="Verdana" w:cs="Arial"/>
                <w:sz w:val="20"/>
                <w:szCs w:val="20"/>
              </w:rPr>
              <w:t>H 03</w:t>
            </w:r>
          </w:p>
        </w:tc>
        <w:tc>
          <w:tcPr>
            <w:tcW w:w="4409" w:type="pct"/>
          </w:tcPr>
          <w:p w:rsidR="00473A7B" w:rsidRPr="00380AA2" w:rsidRDefault="00473A7B" w:rsidP="00EB27EF">
            <w:pPr>
              <w:rPr>
                <w:rFonts w:ascii="Verdana" w:hAnsi="Verdana" w:cs="Arial"/>
                <w:sz w:val="20"/>
                <w:szCs w:val="20"/>
              </w:rPr>
            </w:pPr>
            <w:r w:rsidRPr="00380AA2">
              <w:rPr>
                <w:rFonts w:ascii="Verdana" w:hAnsi="Verdana" w:cs="Arial"/>
                <w:sz w:val="20"/>
                <w:szCs w:val="20"/>
              </w:rPr>
              <w:t>Recycling issues</w:t>
            </w:r>
          </w:p>
        </w:tc>
      </w:tr>
      <w:tr w:rsidR="00473A7B" w:rsidRPr="00380AA2" w:rsidTr="00380AA2">
        <w:tc>
          <w:tcPr>
            <w:tcW w:w="591" w:type="pct"/>
          </w:tcPr>
          <w:p w:rsidR="00473A7B" w:rsidRPr="00380AA2" w:rsidRDefault="00473A7B" w:rsidP="00EB27EF">
            <w:pPr>
              <w:rPr>
                <w:rFonts w:ascii="Verdana" w:hAnsi="Verdana" w:cs="Arial"/>
                <w:sz w:val="20"/>
                <w:szCs w:val="20"/>
              </w:rPr>
            </w:pPr>
            <w:r w:rsidRPr="00380AA2">
              <w:rPr>
                <w:rFonts w:ascii="Verdana" w:hAnsi="Verdana" w:cs="Arial"/>
                <w:sz w:val="20"/>
                <w:szCs w:val="20"/>
              </w:rPr>
              <w:t>H 04</w:t>
            </w:r>
          </w:p>
        </w:tc>
        <w:tc>
          <w:tcPr>
            <w:tcW w:w="4409" w:type="pct"/>
          </w:tcPr>
          <w:p w:rsidR="00473A7B" w:rsidRPr="00380AA2" w:rsidRDefault="00473A7B" w:rsidP="00EB27EF">
            <w:pPr>
              <w:rPr>
                <w:rFonts w:ascii="Verdana" w:hAnsi="Verdana" w:cs="Arial"/>
                <w:sz w:val="20"/>
                <w:szCs w:val="20"/>
              </w:rPr>
            </w:pPr>
            <w:r w:rsidRPr="00380AA2">
              <w:rPr>
                <w:rFonts w:ascii="Verdana" w:hAnsi="Verdana" w:cs="Arial"/>
                <w:sz w:val="20"/>
                <w:szCs w:val="20"/>
              </w:rPr>
              <w:t>Combined effects – Legal aspects</w:t>
            </w:r>
          </w:p>
        </w:tc>
      </w:tr>
      <w:tr w:rsidR="00473A7B" w:rsidRPr="00380AA2" w:rsidTr="00380AA2">
        <w:tc>
          <w:tcPr>
            <w:tcW w:w="591" w:type="pct"/>
          </w:tcPr>
          <w:p w:rsidR="00473A7B" w:rsidRPr="00380AA2" w:rsidRDefault="00473A7B" w:rsidP="00EB27EF">
            <w:pPr>
              <w:rPr>
                <w:rFonts w:ascii="Verdana" w:hAnsi="Verdana" w:cs="Arial"/>
                <w:sz w:val="20"/>
                <w:szCs w:val="20"/>
              </w:rPr>
            </w:pPr>
            <w:r w:rsidRPr="00380AA2">
              <w:rPr>
                <w:rFonts w:ascii="Verdana" w:hAnsi="Verdana" w:cs="Arial"/>
                <w:sz w:val="20"/>
                <w:szCs w:val="20"/>
              </w:rPr>
              <w:t>H 05</w:t>
            </w:r>
          </w:p>
        </w:tc>
        <w:tc>
          <w:tcPr>
            <w:tcW w:w="4409" w:type="pct"/>
          </w:tcPr>
          <w:p w:rsidR="00473A7B" w:rsidRPr="00380AA2" w:rsidRDefault="00473A7B" w:rsidP="00EB27EF">
            <w:pPr>
              <w:rPr>
                <w:rFonts w:ascii="Verdana" w:hAnsi="Verdana" w:cs="Arial"/>
                <w:sz w:val="20"/>
                <w:szCs w:val="20"/>
              </w:rPr>
            </w:pPr>
            <w:r w:rsidRPr="00380AA2">
              <w:rPr>
                <w:rFonts w:ascii="Verdana" w:hAnsi="Verdana" w:cs="Arial"/>
                <w:sz w:val="20"/>
                <w:szCs w:val="20"/>
              </w:rPr>
              <w:t>Combined effects – Scientific aspects</w:t>
            </w:r>
          </w:p>
        </w:tc>
      </w:tr>
      <w:tr w:rsidR="00473A7B" w:rsidRPr="00380AA2" w:rsidTr="00380AA2">
        <w:tc>
          <w:tcPr>
            <w:tcW w:w="591" w:type="pct"/>
          </w:tcPr>
          <w:p w:rsidR="00473A7B" w:rsidRPr="00380AA2" w:rsidRDefault="00473A7B" w:rsidP="00EB27EF">
            <w:pPr>
              <w:rPr>
                <w:rFonts w:ascii="Verdana" w:hAnsi="Verdana" w:cs="Arial"/>
                <w:sz w:val="20"/>
                <w:szCs w:val="20"/>
              </w:rPr>
            </w:pPr>
            <w:r w:rsidRPr="00380AA2">
              <w:rPr>
                <w:rFonts w:ascii="Verdana" w:hAnsi="Verdana" w:cs="Arial"/>
                <w:sz w:val="20"/>
                <w:szCs w:val="20"/>
              </w:rPr>
              <w:t>H 06</w:t>
            </w:r>
          </w:p>
        </w:tc>
        <w:tc>
          <w:tcPr>
            <w:tcW w:w="4409" w:type="pct"/>
          </w:tcPr>
          <w:p w:rsidR="00473A7B" w:rsidRPr="00380AA2" w:rsidRDefault="00473A7B" w:rsidP="00EB27EF">
            <w:pPr>
              <w:rPr>
                <w:rFonts w:ascii="Verdana" w:hAnsi="Verdana" w:cs="Arial"/>
                <w:sz w:val="20"/>
                <w:szCs w:val="20"/>
              </w:rPr>
            </w:pPr>
            <w:r w:rsidRPr="00380AA2">
              <w:rPr>
                <w:rFonts w:ascii="Verdana" w:hAnsi="Verdana" w:cs="Arial"/>
                <w:sz w:val="20"/>
                <w:szCs w:val="20"/>
              </w:rPr>
              <w:t>Risk to human health</w:t>
            </w:r>
          </w:p>
        </w:tc>
      </w:tr>
      <w:tr w:rsidR="00473A7B" w:rsidRPr="00380AA2" w:rsidTr="00380AA2">
        <w:tc>
          <w:tcPr>
            <w:tcW w:w="591" w:type="pct"/>
          </w:tcPr>
          <w:p w:rsidR="00473A7B" w:rsidRPr="00380AA2" w:rsidRDefault="00473A7B" w:rsidP="00EB27EF">
            <w:pPr>
              <w:rPr>
                <w:rFonts w:ascii="Verdana" w:hAnsi="Verdana" w:cs="Arial"/>
                <w:sz w:val="20"/>
                <w:szCs w:val="20"/>
              </w:rPr>
            </w:pPr>
            <w:r w:rsidRPr="00380AA2">
              <w:rPr>
                <w:rFonts w:ascii="Verdana" w:hAnsi="Verdana" w:cs="Arial"/>
                <w:sz w:val="20"/>
                <w:szCs w:val="20"/>
              </w:rPr>
              <w:t>H 07</w:t>
            </w:r>
          </w:p>
        </w:tc>
        <w:tc>
          <w:tcPr>
            <w:tcW w:w="4409" w:type="pct"/>
          </w:tcPr>
          <w:p w:rsidR="00473A7B" w:rsidRPr="00380AA2" w:rsidRDefault="00473A7B" w:rsidP="00EB27EF">
            <w:pPr>
              <w:rPr>
                <w:rFonts w:ascii="Verdana" w:hAnsi="Verdana" w:cs="Arial"/>
                <w:sz w:val="20"/>
                <w:szCs w:val="20"/>
              </w:rPr>
            </w:pPr>
            <w:r w:rsidRPr="00380AA2">
              <w:rPr>
                <w:rFonts w:ascii="Verdana" w:hAnsi="Verdana" w:cs="Arial"/>
                <w:sz w:val="20"/>
                <w:szCs w:val="20"/>
              </w:rPr>
              <w:t>The scope of the proposed restriction</w:t>
            </w:r>
          </w:p>
        </w:tc>
      </w:tr>
      <w:tr w:rsidR="00473A7B" w:rsidRPr="00380AA2" w:rsidTr="00380AA2">
        <w:tc>
          <w:tcPr>
            <w:tcW w:w="591" w:type="pct"/>
          </w:tcPr>
          <w:p w:rsidR="00473A7B" w:rsidRPr="00380AA2" w:rsidRDefault="00473A7B" w:rsidP="00EB27EF">
            <w:pPr>
              <w:rPr>
                <w:rFonts w:ascii="Verdana" w:hAnsi="Verdana" w:cs="Arial"/>
                <w:sz w:val="20"/>
                <w:szCs w:val="20"/>
              </w:rPr>
            </w:pPr>
            <w:r w:rsidRPr="00380AA2">
              <w:rPr>
                <w:rFonts w:ascii="Verdana" w:hAnsi="Verdana" w:cs="Arial"/>
                <w:sz w:val="20"/>
                <w:szCs w:val="20"/>
              </w:rPr>
              <w:t>H 08</w:t>
            </w:r>
          </w:p>
        </w:tc>
        <w:tc>
          <w:tcPr>
            <w:tcW w:w="4409" w:type="pct"/>
          </w:tcPr>
          <w:p w:rsidR="00473A7B" w:rsidRPr="00380AA2" w:rsidRDefault="00473A7B" w:rsidP="00EB27EF">
            <w:pPr>
              <w:rPr>
                <w:rFonts w:ascii="Verdana" w:hAnsi="Verdana" w:cs="Arial"/>
                <w:sz w:val="20"/>
                <w:szCs w:val="20"/>
              </w:rPr>
            </w:pPr>
            <w:r w:rsidRPr="00380AA2">
              <w:rPr>
                <w:rFonts w:ascii="Verdana" w:hAnsi="Verdana" w:cs="Arial"/>
                <w:sz w:val="20"/>
                <w:szCs w:val="20"/>
              </w:rPr>
              <w:t>Proportionality issues</w:t>
            </w:r>
          </w:p>
        </w:tc>
      </w:tr>
      <w:tr w:rsidR="00473A7B" w:rsidRPr="00380AA2" w:rsidTr="00380AA2">
        <w:tc>
          <w:tcPr>
            <w:tcW w:w="591" w:type="pct"/>
          </w:tcPr>
          <w:p w:rsidR="00473A7B" w:rsidRPr="00380AA2" w:rsidRDefault="00473A7B" w:rsidP="00EB27EF">
            <w:pPr>
              <w:rPr>
                <w:rFonts w:ascii="Verdana" w:hAnsi="Verdana" w:cs="Arial"/>
                <w:sz w:val="20"/>
                <w:szCs w:val="20"/>
              </w:rPr>
            </w:pPr>
            <w:r w:rsidRPr="00380AA2">
              <w:rPr>
                <w:rFonts w:ascii="Verdana" w:hAnsi="Verdana" w:cs="Arial"/>
                <w:sz w:val="20"/>
                <w:szCs w:val="20"/>
              </w:rPr>
              <w:t>H 09</w:t>
            </w:r>
          </w:p>
        </w:tc>
        <w:tc>
          <w:tcPr>
            <w:tcW w:w="4409" w:type="pct"/>
          </w:tcPr>
          <w:p w:rsidR="00473A7B" w:rsidRPr="00380AA2" w:rsidRDefault="00473A7B" w:rsidP="00EB27EF">
            <w:pPr>
              <w:rPr>
                <w:rFonts w:ascii="Verdana" w:hAnsi="Verdana" w:cs="Arial"/>
                <w:sz w:val="20"/>
                <w:szCs w:val="20"/>
              </w:rPr>
            </w:pPr>
            <w:r w:rsidRPr="00380AA2">
              <w:rPr>
                <w:rFonts w:ascii="Verdana" w:hAnsi="Verdana" w:cs="Arial"/>
                <w:sz w:val="20"/>
                <w:szCs w:val="20"/>
              </w:rPr>
              <w:t>Information on alternatives</w:t>
            </w:r>
          </w:p>
        </w:tc>
      </w:tr>
      <w:tr w:rsidR="00473A7B" w:rsidRPr="00380AA2" w:rsidTr="00380AA2">
        <w:tc>
          <w:tcPr>
            <w:tcW w:w="591" w:type="pct"/>
          </w:tcPr>
          <w:p w:rsidR="00473A7B" w:rsidRPr="00380AA2" w:rsidRDefault="00473A7B" w:rsidP="00EB27EF">
            <w:pPr>
              <w:rPr>
                <w:rFonts w:ascii="Verdana" w:hAnsi="Verdana" w:cs="Arial"/>
                <w:sz w:val="20"/>
                <w:szCs w:val="20"/>
              </w:rPr>
            </w:pPr>
            <w:r w:rsidRPr="00380AA2">
              <w:rPr>
                <w:rFonts w:ascii="Verdana" w:hAnsi="Verdana" w:cs="Arial"/>
                <w:sz w:val="20"/>
                <w:szCs w:val="20"/>
              </w:rPr>
              <w:t>H 10</w:t>
            </w:r>
          </w:p>
        </w:tc>
        <w:tc>
          <w:tcPr>
            <w:tcW w:w="4409" w:type="pct"/>
          </w:tcPr>
          <w:p w:rsidR="00473A7B" w:rsidRPr="00380AA2" w:rsidRDefault="00473A7B" w:rsidP="00EB27EF">
            <w:pPr>
              <w:rPr>
                <w:rFonts w:ascii="Verdana" w:hAnsi="Verdana" w:cs="Arial"/>
                <w:sz w:val="20"/>
                <w:szCs w:val="20"/>
              </w:rPr>
            </w:pPr>
            <w:r w:rsidRPr="00380AA2">
              <w:rPr>
                <w:rFonts w:ascii="Verdana" w:hAnsi="Verdana" w:cs="Arial"/>
                <w:sz w:val="20"/>
                <w:szCs w:val="20"/>
              </w:rPr>
              <w:t>Exposure</w:t>
            </w:r>
          </w:p>
        </w:tc>
      </w:tr>
      <w:tr w:rsidR="00473A7B" w:rsidRPr="00380AA2" w:rsidTr="00380AA2">
        <w:tc>
          <w:tcPr>
            <w:tcW w:w="591" w:type="pct"/>
          </w:tcPr>
          <w:p w:rsidR="00473A7B" w:rsidRPr="00380AA2" w:rsidRDefault="00473A7B" w:rsidP="00EB27EF">
            <w:pPr>
              <w:rPr>
                <w:rFonts w:ascii="Verdana" w:hAnsi="Verdana" w:cs="Arial"/>
                <w:sz w:val="20"/>
                <w:szCs w:val="20"/>
              </w:rPr>
            </w:pPr>
            <w:r w:rsidRPr="00380AA2">
              <w:rPr>
                <w:rFonts w:ascii="Verdana" w:hAnsi="Verdana" w:cs="Arial"/>
                <w:sz w:val="20"/>
                <w:szCs w:val="20"/>
              </w:rPr>
              <w:t>H 11</w:t>
            </w:r>
          </w:p>
        </w:tc>
        <w:tc>
          <w:tcPr>
            <w:tcW w:w="4409" w:type="pct"/>
          </w:tcPr>
          <w:p w:rsidR="00473A7B" w:rsidRPr="00380AA2" w:rsidRDefault="00473A7B" w:rsidP="00EB27EF">
            <w:pPr>
              <w:rPr>
                <w:rFonts w:ascii="Verdana" w:hAnsi="Verdana" w:cs="Arial"/>
                <w:sz w:val="20"/>
                <w:szCs w:val="20"/>
              </w:rPr>
            </w:pPr>
            <w:r w:rsidRPr="00380AA2">
              <w:rPr>
                <w:rFonts w:ascii="Verdana" w:hAnsi="Verdana" w:cs="Arial"/>
                <w:sz w:val="20"/>
                <w:szCs w:val="20"/>
              </w:rPr>
              <w:t>Socio-economic analysis (SEA) of the proposal</w:t>
            </w:r>
          </w:p>
        </w:tc>
      </w:tr>
      <w:tr w:rsidR="00473A7B" w:rsidRPr="00380AA2" w:rsidTr="00380AA2">
        <w:tc>
          <w:tcPr>
            <w:tcW w:w="591" w:type="pct"/>
          </w:tcPr>
          <w:p w:rsidR="00473A7B" w:rsidRPr="00380AA2" w:rsidRDefault="00473A7B" w:rsidP="00EB27EF">
            <w:pPr>
              <w:rPr>
                <w:rFonts w:ascii="Verdana" w:hAnsi="Verdana" w:cs="Arial"/>
                <w:sz w:val="20"/>
                <w:szCs w:val="20"/>
              </w:rPr>
            </w:pPr>
            <w:r w:rsidRPr="00380AA2">
              <w:rPr>
                <w:rFonts w:ascii="Verdana" w:hAnsi="Verdana" w:cs="Arial"/>
                <w:sz w:val="20"/>
                <w:szCs w:val="20"/>
              </w:rPr>
              <w:t>H 12</w:t>
            </w:r>
          </w:p>
        </w:tc>
        <w:tc>
          <w:tcPr>
            <w:tcW w:w="4409" w:type="pct"/>
          </w:tcPr>
          <w:p w:rsidR="00473A7B" w:rsidRPr="00380AA2" w:rsidRDefault="00473A7B" w:rsidP="00EB27EF">
            <w:pPr>
              <w:rPr>
                <w:rFonts w:ascii="Verdana" w:hAnsi="Verdana" w:cs="Arial"/>
                <w:sz w:val="20"/>
                <w:szCs w:val="20"/>
              </w:rPr>
            </w:pPr>
            <w:r w:rsidRPr="00380AA2">
              <w:rPr>
                <w:rFonts w:ascii="Verdana" w:hAnsi="Verdana" w:cs="Arial"/>
                <w:sz w:val="20"/>
                <w:szCs w:val="20"/>
              </w:rPr>
              <w:t>Comments related to species differences in sensitivity</w:t>
            </w:r>
          </w:p>
        </w:tc>
      </w:tr>
      <w:tr w:rsidR="00473A7B" w:rsidRPr="00380AA2" w:rsidTr="00380AA2">
        <w:tc>
          <w:tcPr>
            <w:tcW w:w="591" w:type="pct"/>
          </w:tcPr>
          <w:p w:rsidR="00473A7B" w:rsidRPr="00380AA2" w:rsidRDefault="00473A7B" w:rsidP="00EB27EF">
            <w:pPr>
              <w:rPr>
                <w:rFonts w:ascii="Verdana" w:hAnsi="Verdana" w:cs="Arial"/>
                <w:sz w:val="20"/>
                <w:szCs w:val="20"/>
              </w:rPr>
            </w:pPr>
            <w:r w:rsidRPr="00380AA2">
              <w:rPr>
                <w:rFonts w:ascii="Verdana" w:hAnsi="Verdana" w:cs="Arial"/>
                <w:sz w:val="20"/>
                <w:szCs w:val="20"/>
              </w:rPr>
              <w:t>H 13</w:t>
            </w:r>
          </w:p>
        </w:tc>
        <w:tc>
          <w:tcPr>
            <w:tcW w:w="4409" w:type="pct"/>
          </w:tcPr>
          <w:p w:rsidR="00473A7B" w:rsidRPr="00380AA2" w:rsidRDefault="00473A7B" w:rsidP="00EB27EF">
            <w:pPr>
              <w:rPr>
                <w:rFonts w:ascii="Verdana" w:hAnsi="Verdana" w:cs="Arial"/>
                <w:sz w:val="20"/>
                <w:szCs w:val="20"/>
              </w:rPr>
            </w:pPr>
            <w:r w:rsidRPr="00380AA2">
              <w:rPr>
                <w:rFonts w:ascii="Verdana" w:hAnsi="Verdana" w:cs="Arial"/>
                <w:sz w:val="20"/>
                <w:szCs w:val="20"/>
              </w:rPr>
              <w:t>Usefulness of epidemiological information</w:t>
            </w:r>
          </w:p>
        </w:tc>
      </w:tr>
      <w:tr w:rsidR="00473A7B" w:rsidRPr="00380AA2" w:rsidTr="00380AA2">
        <w:tc>
          <w:tcPr>
            <w:tcW w:w="591" w:type="pct"/>
          </w:tcPr>
          <w:p w:rsidR="00473A7B" w:rsidRPr="00380AA2" w:rsidRDefault="00473A7B" w:rsidP="00EB27EF">
            <w:pPr>
              <w:rPr>
                <w:rFonts w:ascii="Verdana" w:hAnsi="Verdana" w:cs="Arial"/>
                <w:sz w:val="20"/>
                <w:szCs w:val="20"/>
              </w:rPr>
            </w:pPr>
            <w:r w:rsidRPr="00380AA2">
              <w:rPr>
                <w:rFonts w:ascii="Verdana" w:hAnsi="Verdana" w:cs="Arial"/>
                <w:sz w:val="20"/>
                <w:szCs w:val="20"/>
              </w:rPr>
              <w:t>H 14</w:t>
            </w:r>
          </w:p>
        </w:tc>
        <w:tc>
          <w:tcPr>
            <w:tcW w:w="4409" w:type="pct"/>
          </w:tcPr>
          <w:p w:rsidR="00473A7B" w:rsidRPr="00380AA2" w:rsidRDefault="00473A7B" w:rsidP="00EB27EF">
            <w:pPr>
              <w:rPr>
                <w:rFonts w:ascii="Verdana" w:hAnsi="Verdana" w:cs="Arial"/>
                <w:sz w:val="20"/>
                <w:szCs w:val="20"/>
              </w:rPr>
            </w:pPr>
            <w:r w:rsidRPr="00380AA2">
              <w:rPr>
                <w:rFonts w:ascii="Verdana" w:hAnsi="Verdana" w:cs="Arial"/>
                <w:sz w:val="20"/>
                <w:szCs w:val="20"/>
              </w:rPr>
              <w:t>Assessment factors and absorption</w:t>
            </w:r>
          </w:p>
        </w:tc>
      </w:tr>
      <w:tr w:rsidR="00473A7B" w:rsidRPr="00380AA2" w:rsidTr="00380AA2">
        <w:tc>
          <w:tcPr>
            <w:tcW w:w="591" w:type="pct"/>
          </w:tcPr>
          <w:p w:rsidR="00473A7B" w:rsidRPr="00380AA2" w:rsidRDefault="00473A7B" w:rsidP="00EB27EF">
            <w:pPr>
              <w:rPr>
                <w:rFonts w:ascii="Verdana" w:hAnsi="Verdana" w:cs="Arial"/>
                <w:sz w:val="20"/>
                <w:szCs w:val="20"/>
              </w:rPr>
            </w:pPr>
            <w:r w:rsidRPr="00380AA2">
              <w:rPr>
                <w:rFonts w:ascii="Verdana" w:hAnsi="Verdana" w:cs="Arial"/>
                <w:sz w:val="20"/>
                <w:szCs w:val="20"/>
              </w:rPr>
              <w:t>H 15</w:t>
            </w:r>
          </w:p>
        </w:tc>
        <w:tc>
          <w:tcPr>
            <w:tcW w:w="4409" w:type="pct"/>
          </w:tcPr>
          <w:p w:rsidR="00473A7B" w:rsidRPr="00380AA2" w:rsidRDefault="00473A7B" w:rsidP="00EB27EF">
            <w:pPr>
              <w:rPr>
                <w:rFonts w:ascii="Verdana" w:hAnsi="Verdana" w:cs="Arial"/>
                <w:sz w:val="20"/>
                <w:szCs w:val="20"/>
              </w:rPr>
            </w:pPr>
            <w:r w:rsidRPr="00380AA2">
              <w:rPr>
                <w:rFonts w:ascii="Verdana" w:hAnsi="Verdana" w:cs="Arial"/>
                <w:sz w:val="20"/>
                <w:szCs w:val="20"/>
              </w:rPr>
              <w:t>Relevant toxicological endpoints</w:t>
            </w:r>
          </w:p>
        </w:tc>
      </w:tr>
      <w:tr w:rsidR="00473A7B" w:rsidRPr="00380AA2" w:rsidTr="00380AA2">
        <w:tc>
          <w:tcPr>
            <w:tcW w:w="591" w:type="pct"/>
          </w:tcPr>
          <w:p w:rsidR="00473A7B" w:rsidRPr="00380AA2" w:rsidRDefault="00473A7B" w:rsidP="00EB27EF">
            <w:pPr>
              <w:rPr>
                <w:rFonts w:ascii="Verdana" w:hAnsi="Verdana" w:cs="Arial"/>
                <w:sz w:val="20"/>
                <w:szCs w:val="20"/>
              </w:rPr>
            </w:pPr>
            <w:r w:rsidRPr="00380AA2">
              <w:rPr>
                <w:rFonts w:ascii="Verdana" w:hAnsi="Verdana" w:cs="Arial"/>
                <w:sz w:val="20"/>
                <w:szCs w:val="20"/>
              </w:rPr>
              <w:t>H 16</w:t>
            </w:r>
          </w:p>
        </w:tc>
        <w:tc>
          <w:tcPr>
            <w:tcW w:w="4409" w:type="pct"/>
          </w:tcPr>
          <w:p w:rsidR="00473A7B" w:rsidRPr="00380AA2" w:rsidRDefault="00473A7B" w:rsidP="00EB27EF">
            <w:pPr>
              <w:rPr>
                <w:rFonts w:ascii="Verdana" w:hAnsi="Verdana" w:cs="Arial"/>
                <w:sz w:val="20"/>
                <w:szCs w:val="20"/>
              </w:rPr>
            </w:pPr>
            <w:r w:rsidRPr="00380AA2">
              <w:rPr>
                <w:rFonts w:ascii="Verdana" w:hAnsi="Verdana" w:cs="Arial"/>
                <w:sz w:val="20"/>
                <w:szCs w:val="20"/>
              </w:rPr>
              <w:t>Selection of risk management option (RMO)</w:t>
            </w:r>
          </w:p>
        </w:tc>
      </w:tr>
    </w:tbl>
    <w:p w:rsidR="00473A7B" w:rsidRDefault="00473A7B" w:rsidP="00473A7B">
      <w:pPr>
        <w:rPr>
          <w:rFonts w:ascii="Verdana" w:hAnsi="Verdana"/>
          <w:szCs w:val="20"/>
        </w:rPr>
        <w:sectPr w:rsidR="00473A7B" w:rsidSect="00EB27EF">
          <w:pgSz w:w="11907" w:h="16840" w:code="9"/>
          <w:pgMar w:top="1418" w:right="1134" w:bottom="567" w:left="1418" w:header="856" w:footer="567" w:gutter="0"/>
          <w:pgNumType w:start="0"/>
          <w:cols w:space="708"/>
          <w:titlePg/>
        </w:sectPr>
      </w:pPr>
    </w:p>
    <w:p w:rsidR="00473A7B" w:rsidRDefault="00473A7B" w:rsidP="008719BD"/>
    <w:tbl>
      <w:tblPr>
        <w:tblW w:w="5397"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3192"/>
        <w:gridCol w:w="4956"/>
        <w:gridCol w:w="36"/>
        <w:gridCol w:w="3156"/>
        <w:gridCol w:w="3008"/>
      </w:tblGrid>
      <w:tr w:rsidR="00473A7B" w:rsidRPr="006D5D6F" w:rsidTr="00EB27EF">
        <w:trPr>
          <w:trHeight w:val="989"/>
          <w:tblHeader/>
        </w:trPr>
        <w:tc>
          <w:tcPr>
            <w:tcW w:w="235" w:type="pct"/>
          </w:tcPr>
          <w:p w:rsidR="00473A7B" w:rsidRPr="006D5D6F" w:rsidRDefault="00473A7B" w:rsidP="00EB27EF">
            <w:pPr>
              <w:jc w:val="center"/>
              <w:rPr>
                <w:rFonts w:ascii="Verdana" w:hAnsi="Verdana"/>
                <w:b/>
                <w:sz w:val="20"/>
                <w:szCs w:val="20"/>
              </w:rPr>
            </w:pPr>
            <w:r w:rsidRPr="006D5D6F">
              <w:rPr>
                <w:rFonts w:ascii="Verdana" w:hAnsi="Verdana"/>
                <w:b/>
                <w:sz w:val="20"/>
                <w:szCs w:val="20"/>
              </w:rPr>
              <w:t>Ref</w:t>
            </w:r>
          </w:p>
        </w:tc>
        <w:tc>
          <w:tcPr>
            <w:tcW w:w="1060" w:type="pct"/>
          </w:tcPr>
          <w:p w:rsidR="00473A7B" w:rsidRPr="006D5D6F" w:rsidRDefault="00473A7B" w:rsidP="00EB27EF">
            <w:pPr>
              <w:jc w:val="center"/>
              <w:rPr>
                <w:rFonts w:ascii="Verdana" w:hAnsi="Verdana"/>
                <w:b/>
                <w:sz w:val="20"/>
                <w:szCs w:val="20"/>
              </w:rPr>
            </w:pPr>
            <w:r w:rsidRPr="006D5D6F">
              <w:rPr>
                <w:rFonts w:ascii="Verdana" w:hAnsi="Verdana"/>
                <w:b/>
                <w:sz w:val="20"/>
                <w:szCs w:val="20"/>
              </w:rPr>
              <w:t xml:space="preserve">Date Country/ Organisation/ </w:t>
            </w:r>
          </w:p>
          <w:p w:rsidR="00473A7B" w:rsidRPr="006D5D6F" w:rsidRDefault="00473A7B" w:rsidP="00EB27EF">
            <w:pPr>
              <w:jc w:val="center"/>
              <w:rPr>
                <w:rFonts w:ascii="Verdana" w:hAnsi="Verdana"/>
                <w:b/>
                <w:sz w:val="20"/>
                <w:szCs w:val="20"/>
              </w:rPr>
            </w:pPr>
            <w:r w:rsidRPr="006D5D6F">
              <w:rPr>
                <w:rFonts w:ascii="Verdana" w:hAnsi="Verdana"/>
                <w:b/>
                <w:sz w:val="20"/>
                <w:szCs w:val="20"/>
              </w:rPr>
              <w:t>MSCA</w:t>
            </w:r>
          </w:p>
          <w:p w:rsidR="00473A7B" w:rsidRPr="006D5D6F" w:rsidRDefault="00473A7B" w:rsidP="00EB27EF">
            <w:pPr>
              <w:jc w:val="center"/>
              <w:rPr>
                <w:rFonts w:ascii="Verdana" w:hAnsi="Verdana"/>
                <w:b/>
                <w:sz w:val="20"/>
                <w:szCs w:val="20"/>
              </w:rPr>
            </w:pPr>
            <w:r w:rsidRPr="006D5D6F">
              <w:rPr>
                <w:rFonts w:ascii="Verdana" w:hAnsi="Verdana"/>
                <w:b/>
                <w:sz w:val="20"/>
                <w:szCs w:val="20"/>
              </w:rPr>
              <w:t>Comment type</w:t>
            </w:r>
          </w:p>
        </w:tc>
        <w:tc>
          <w:tcPr>
            <w:tcW w:w="1658" w:type="pct"/>
            <w:gridSpan w:val="2"/>
          </w:tcPr>
          <w:p w:rsidR="00473A7B" w:rsidRPr="006D5D6F" w:rsidRDefault="00473A7B" w:rsidP="00EB27EF">
            <w:pPr>
              <w:jc w:val="center"/>
              <w:rPr>
                <w:rFonts w:ascii="Verdana" w:hAnsi="Verdana"/>
                <w:b/>
                <w:sz w:val="20"/>
                <w:szCs w:val="20"/>
              </w:rPr>
            </w:pPr>
            <w:r w:rsidRPr="006D5D6F">
              <w:rPr>
                <w:rFonts w:ascii="Verdana" w:hAnsi="Verdana"/>
                <w:b/>
                <w:sz w:val="20"/>
                <w:szCs w:val="20"/>
              </w:rPr>
              <w:t>Comment</w:t>
            </w:r>
          </w:p>
        </w:tc>
        <w:tc>
          <w:tcPr>
            <w:tcW w:w="1047" w:type="pct"/>
          </w:tcPr>
          <w:p w:rsidR="00473A7B" w:rsidRPr="006D5D6F" w:rsidRDefault="00473A7B" w:rsidP="00EB27EF">
            <w:pPr>
              <w:jc w:val="center"/>
              <w:rPr>
                <w:rFonts w:ascii="Verdana" w:hAnsi="Verdana"/>
                <w:b/>
                <w:sz w:val="20"/>
                <w:szCs w:val="20"/>
              </w:rPr>
            </w:pPr>
            <w:r w:rsidRPr="006D5D6F">
              <w:rPr>
                <w:rFonts w:ascii="Verdana" w:hAnsi="Verdana"/>
                <w:b/>
                <w:sz w:val="20"/>
                <w:szCs w:val="20"/>
              </w:rPr>
              <w:t>DS Response</w:t>
            </w:r>
          </w:p>
        </w:tc>
        <w:tc>
          <w:tcPr>
            <w:tcW w:w="1000" w:type="pct"/>
          </w:tcPr>
          <w:p w:rsidR="00473A7B" w:rsidRPr="006D5D6F" w:rsidRDefault="00473A7B" w:rsidP="00EB27EF">
            <w:pPr>
              <w:jc w:val="center"/>
              <w:rPr>
                <w:rFonts w:ascii="Verdana" w:hAnsi="Verdana"/>
                <w:b/>
                <w:sz w:val="20"/>
                <w:szCs w:val="20"/>
                <w:lang w:val="fr-FR"/>
              </w:rPr>
            </w:pPr>
            <w:r w:rsidRPr="006D5D6F">
              <w:rPr>
                <w:rFonts w:ascii="Verdana" w:hAnsi="Verdana"/>
                <w:b/>
                <w:sz w:val="20"/>
                <w:szCs w:val="20"/>
                <w:lang w:val="fr-FR"/>
              </w:rPr>
              <w:t>Rapporteurs responses</w:t>
            </w:r>
          </w:p>
          <w:p w:rsidR="00473A7B" w:rsidRPr="006D5D6F" w:rsidRDefault="00473A7B" w:rsidP="00EB27EF">
            <w:pPr>
              <w:jc w:val="center"/>
              <w:rPr>
                <w:rFonts w:ascii="Verdana" w:hAnsi="Verdana"/>
                <w:b/>
                <w:sz w:val="20"/>
                <w:szCs w:val="20"/>
                <w:lang w:val="fr-FR"/>
              </w:rPr>
            </w:pPr>
            <w:r w:rsidRPr="006D5D6F">
              <w:rPr>
                <w:rFonts w:ascii="Verdana" w:hAnsi="Verdana"/>
                <w:b/>
                <w:sz w:val="20"/>
                <w:szCs w:val="20"/>
                <w:lang w:val="fr-FR"/>
              </w:rPr>
              <w:t>(RAC or SEAC)</w:t>
            </w:r>
          </w:p>
        </w:tc>
      </w:tr>
      <w:tr w:rsidR="00473A7B" w:rsidRPr="006D5D6F" w:rsidTr="00EB27EF">
        <w:trPr>
          <w:trHeight w:val="3413"/>
        </w:trPr>
        <w:tc>
          <w:tcPr>
            <w:tcW w:w="235" w:type="pct"/>
            <w:vMerge w:val="restart"/>
          </w:tcPr>
          <w:p w:rsidR="00473A7B" w:rsidRPr="006D5D6F" w:rsidRDefault="00473A7B" w:rsidP="00EB27EF">
            <w:pPr>
              <w:jc w:val="center"/>
              <w:rPr>
                <w:rFonts w:ascii="Verdana" w:hAnsi="Verdana"/>
                <w:b/>
                <w:noProof/>
                <w:sz w:val="20"/>
                <w:szCs w:val="20"/>
              </w:rPr>
            </w:pPr>
            <w:r w:rsidRPr="006D5D6F">
              <w:rPr>
                <w:rFonts w:ascii="Verdana" w:hAnsi="Verdana"/>
                <w:b/>
                <w:noProof/>
                <w:sz w:val="20"/>
                <w:szCs w:val="20"/>
              </w:rPr>
              <w:t>197</w:t>
            </w:r>
          </w:p>
        </w:tc>
        <w:tc>
          <w:tcPr>
            <w:tcW w:w="1060" w:type="pct"/>
            <w:vMerge w:val="restart"/>
          </w:tcPr>
          <w:p w:rsidR="00473A7B" w:rsidRPr="006D5D6F" w:rsidRDefault="00473A7B" w:rsidP="00EB27EF">
            <w:pPr>
              <w:jc w:val="both"/>
              <w:rPr>
                <w:rFonts w:ascii="Verdana" w:hAnsi="Verdana"/>
                <w:sz w:val="20"/>
                <w:szCs w:val="20"/>
              </w:rPr>
            </w:pPr>
            <w:smartTag w:uri="urn:schemas-microsoft-com:office:smarttags" w:element="country-region">
              <w:smartTag w:uri="urn:schemas-microsoft-com:office:smarttags" w:element="place">
                <w:r w:rsidRPr="006D5D6F">
                  <w:rPr>
                    <w:rFonts w:ascii="Verdana" w:hAnsi="Verdana"/>
                    <w:noProof/>
                    <w:sz w:val="20"/>
                    <w:szCs w:val="20"/>
                  </w:rPr>
                  <w:t>Belgium</w:t>
                </w:r>
              </w:smartTag>
            </w:smartTag>
            <w:r w:rsidRPr="006D5D6F">
              <w:rPr>
                <w:rFonts w:ascii="Verdana" w:hAnsi="Verdana"/>
                <w:sz w:val="20"/>
                <w:szCs w:val="20"/>
              </w:rPr>
              <w:t xml:space="preserve"> / </w:t>
            </w:r>
            <w:r w:rsidRPr="006D5D6F">
              <w:rPr>
                <w:rFonts w:ascii="Verdana" w:hAnsi="Verdana"/>
                <w:noProof/>
                <w:sz w:val="20"/>
                <w:szCs w:val="20"/>
              </w:rPr>
              <w:t>International NGO</w:t>
            </w:r>
            <w:r w:rsidRPr="006D5D6F">
              <w:rPr>
                <w:rFonts w:ascii="Verdana" w:hAnsi="Verdana"/>
                <w:sz w:val="20"/>
                <w:szCs w:val="20"/>
              </w:rPr>
              <w:t xml:space="preserve"> / </w:t>
            </w:r>
            <w:r w:rsidRPr="006D5D6F">
              <w:rPr>
                <w:rFonts w:ascii="Verdana" w:hAnsi="Verdana"/>
                <w:noProof/>
                <w:sz w:val="20"/>
                <w:szCs w:val="20"/>
              </w:rPr>
              <w:t>EEB</w:t>
            </w:r>
            <w:r w:rsidRPr="006D5D6F">
              <w:rPr>
                <w:rFonts w:ascii="Verdana" w:hAnsi="Verdana"/>
                <w:sz w:val="20"/>
                <w:szCs w:val="20"/>
              </w:rPr>
              <w:t xml:space="preserve">  </w:t>
            </w:r>
          </w:p>
          <w:p w:rsidR="00473A7B" w:rsidRPr="006D5D6F" w:rsidRDefault="00473A7B" w:rsidP="00EB27EF">
            <w:pPr>
              <w:jc w:val="both"/>
              <w:rPr>
                <w:rFonts w:ascii="Verdana" w:hAnsi="Verdana"/>
                <w:noProof/>
                <w:sz w:val="20"/>
                <w:szCs w:val="20"/>
              </w:rPr>
            </w:pPr>
          </w:p>
        </w:tc>
        <w:tc>
          <w:tcPr>
            <w:tcW w:w="1658" w:type="pct"/>
            <w:gridSpan w:val="2"/>
          </w:tcPr>
          <w:p w:rsidR="00473A7B" w:rsidRPr="006D5D6F" w:rsidRDefault="00473A7B" w:rsidP="00EB27EF">
            <w:pPr>
              <w:jc w:val="both"/>
              <w:rPr>
                <w:rFonts w:ascii="Verdana" w:hAnsi="Verdana"/>
                <w:noProof/>
                <w:sz w:val="20"/>
                <w:szCs w:val="20"/>
              </w:rPr>
            </w:pPr>
            <w:r w:rsidRPr="006D5D6F">
              <w:rPr>
                <w:rFonts w:ascii="Verdana" w:hAnsi="Verdana"/>
                <w:noProof/>
                <w:sz w:val="20"/>
                <w:szCs w:val="20"/>
              </w:rPr>
              <w:t>The view that the Restriction would have a negative effect on the competitiveness of EU industry is very debateable.  There is potential for the Restriction to benefit European manufacturers by giving them a lead in the development and manufacture of alternatives to the phthalates of most concern.  This is reflected in the following statement by BASF:</w:t>
            </w:r>
          </w:p>
          <w:p w:rsidR="00473A7B" w:rsidRPr="006D5D6F" w:rsidRDefault="00473A7B" w:rsidP="00EB27EF">
            <w:pPr>
              <w:jc w:val="both"/>
              <w:rPr>
                <w:rFonts w:ascii="Verdana" w:hAnsi="Verdana"/>
                <w:noProof/>
                <w:sz w:val="20"/>
                <w:szCs w:val="20"/>
              </w:rPr>
            </w:pPr>
            <w:r w:rsidRPr="006D5D6F">
              <w:rPr>
                <w:rFonts w:ascii="Verdana" w:hAnsi="Verdana"/>
                <w:noProof/>
                <w:sz w:val="20"/>
                <w:szCs w:val="20"/>
              </w:rPr>
              <w:t>“With Hexamoll® DINCH, both we and our customers are ideally equipped for the future”, said Prof. Dr. Rainer Diercks, president of BASF’s Petrochemicals Division. “This phthalate-free plasticizer plays a big role in human contact applications. Due to the disproportionately high demand and growing global demand for alternative plasticizers, we have decided to expand our production capacity once again. This will strengthen our market position and open up new opportunities for Hexamoll® DINCH. Expansion in the form of a second production plant will enable us to supply our customers around the world more successfully and more reliably in the future.”  Source: http://basf.com/group/pressrelease/P-11-365.</w:t>
            </w:r>
          </w:p>
        </w:tc>
        <w:tc>
          <w:tcPr>
            <w:tcW w:w="1047" w:type="pct"/>
          </w:tcPr>
          <w:p w:rsidR="00473A7B" w:rsidRPr="006D5D6F" w:rsidRDefault="00473A7B" w:rsidP="00EB27EF">
            <w:pPr>
              <w:jc w:val="both"/>
              <w:rPr>
                <w:rFonts w:ascii="Verdana" w:hAnsi="Verdana"/>
                <w:sz w:val="20"/>
                <w:szCs w:val="20"/>
              </w:rPr>
            </w:pPr>
            <w:r w:rsidRPr="006D5D6F">
              <w:rPr>
                <w:rFonts w:ascii="Verdana" w:hAnsi="Verdana"/>
                <w:sz w:val="20"/>
                <w:szCs w:val="20"/>
              </w:rPr>
              <w:t xml:space="preserve">We appreciate the support. </w:t>
            </w:r>
          </w:p>
          <w:p w:rsidR="00473A7B" w:rsidRPr="006D5D6F" w:rsidRDefault="00473A7B" w:rsidP="00EB27EF">
            <w:pPr>
              <w:jc w:val="both"/>
              <w:rPr>
                <w:rFonts w:ascii="Verdana" w:hAnsi="Verdana"/>
                <w:sz w:val="20"/>
                <w:szCs w:val="20"/>
              </w:rPr>
            </w:pPr>
          </w:p>
          <w:p w:rsidR="00473A7B" w:rsidRPr="006D5D6F" w:rsidRDefault="00473A7B" w:rsidP="00EB27EF">
            <w:pPr>
              <w:jc w:val="both"/>
              <w:rPr>
                <w:rFonts w:ascii="Verdana" w:hAnsi="Verdana"/>
                <w:sz w:val="20"/>
                <w:szCs w:val="20"/>
              </w:rPr>
            </w:pPr>
            <w:r w:rsidRPr="006D5D6F">
              <w:rPr>
                <w:rFonts w:ascii="Verdana" w:hAnsi="Verdana"/>
                <w:sz w:val="20"/>
                <w:szCs w:val="20"/>
              </w:rPr>
              <w:t>DINCH is already mentioned as one of the alternatives in use - and the statement quoted by EEB from one of the main producers of plasticisers BASF documents that alternatives exist and are already in use.</w:t>
            </w:r>
          </w:p>
        </w:tc>
        <w:tc>
          <w:tcPr>
            <w:tcW w:w="1000" w:type="pct"/>
          </w:tcPr>
          <w:p w:rsidR="00473A7B" w:rsidRPr="006D5D6F" w:rsidRDefault="00473A7B" w:rsidP="00EB27EF">
            <w:pPr>
              <w:jc w:val="both"/>
              <w:rPr>
                <w:rFonts w:ascii="Verdana" w:hAnsi="Verdana"/>
                <w:b/>
                <w:sz w:val="20"/>
                <w:szCs w:val="20"/>
              </w:rPr>
            </w:pPr>
            <w:r w:rsidRPr="006D5D6F">
              <w:rPr>
                <w:rFonts w:ascii="Verdana" w:hAnsi="Verdana"/>
                <w:b/>
                <w:sz w:val="20"/>
                <w:szCs w:val="20"/>
              </w:rPr>
              <w:t>SEAC</w:t>
            </w:r>
            <w:r w:rsidRPr="006D5D6F">
              <w:rPr>
                <w:rFonts w:ascii="Verdana" w:hAnsi="Verdana"/>
                <w:sz w:val="20"/>
                <w:szCs w:val="20"/>
              </w:rPr>
              <w:t>: No further comments.</w:t>
            </w:r>
          </w:p>
        </w:tc>
      </w:tr>
      <w:tr w:rsidR="00473A7B" w:rsidRPr="006D5D6F" w:rsidTr="00EB27EF">
        <w:trPr>
          <w:trHeight w:val="1307"/>
        </w:trPr>
        <w:tc>
          <w:tcPr>
            <w:tcW w:w="235" w:type="pct"/>
            <w:vMerge/>
          </w:tcPr>
          <w:p w:rsidR="00473A7B" w:rsidRPr="006D5D6F" w:rsidRDefault="00473A7B" w:rsidP="00EB27EF">
            <w:pPr>
              <w:jc w:val="center"/>
              <w:rPr>
                <w:rFonts w:ascii="Verdana" w:hAnsi="Verdana"/>
                <w:b/>
                <w:noProof/>
                <w:sz w:val="20"/>
                <w:szCs w:val="20"/>
              </w:rPr>
            </w:pPr>
          </w:p>
        </w:tc>
        <w:tc>
          <w:tcPr>
            <w:tcW w:w="1060" w:type="pct"/>
            <w:vMerge/>
          </w:tcPr>
          <w:p w:rsidR="00473A7B" w:rsidRPr="006D5D6F" w:rsidRDefault="00473A7B" w:rsidP="00EB27EF">
            <w:pPr>
              <w:jc w:val="both"/>
              <w:rPr>
                <w:rFonts w:ascii="Verdana" w:hAnsi="Verdana"/>
                <w:noProof/>
                <w:sz w:val="20"/>
                <w:szCs w:val="20"/>
              </w:rPr>
            </w:pPr>
          </w:p>
        </w:tc>
        <w:tc>
          <w:tcPr>
            <w:tcW w:w="1658" w:type="pct"/>
            <w:gridSpan w:val="2"/>
          </w:tcPr>
          <w:p w:rsidR="00473A7B" w:rsidRPr="006D5D6F" w:rsidRDefault="00473A7B" w:rsidP="00EB27EF">
            <w:pPr>
              <w:jc w:val="both"/>
              <w:rPr>
                <w:rFonts w:ascii="Verdana" w:hAnsi="Verdana"/>
                <w:noProof/>
                <w:sz w:val="20"/>
                <w:szCs w:val="20"/>
              </w:rPr>
            </w:pPr>
            <w:r w:rsidRPr="006D5D6F">
              <w:rPr>
                <w:rFonts w:ascii="Verdana" w:hAnsi="Verdana"/>
                <w:noProof/>
                <w:sz w:val="20"/>
                <w:szCs w:val="20"/>
              </w:rPr>
              <w:t>Finally, we note that much of the discussion of the benefits of the Restriction has focused on fertility.  Other benefits, for example in relation to testicular cancer, incidence rates of which have doubled since the 1960s, should also be factored into consideration.</w:t>
            </w:r>
          </w:p>
        </w:tc>
        <w:tc>
          <w:tcPr>
            <w:tcW w:w="1047" w:type="pct"/>
          </w:tcPr>
          <w:p w:rsidR="00473A7B" w:rsidRPr="006D5D6F" w:rsidRDefault="00473A7B" w:rsidP="00EB27EF">
            <w:pPr>
              <w:jc w:val="both"/>
              <w:rPr>
                <w:rFonts w:ascii="Verdana" w:hAnsi="Verdana"/>
                <w:sz w:val="20"/>
                <w:szCs w:val="20"/>
              </w:rPr>
            </w:pPr>
            <w:r w:rsidRPr="006D5D6F">
              <w:rPr>
                <w:rFonts w:ascii="Verdana" w:hAnsi="Verdana"/>
                <w:sz w:val="20"/>
                <w:szCs w:val="20"/>
              </w:rPr>
              <w:t xml:space="preserve">We recognise the argument, but have not addressed this further, as the basis for the restriction proposal is only the reprotoxic properties of the four substances. </w:t>
            </w:r>
          </w:p>
        </w:tc>
        <w:tc>
          <w:tcPr>
            <w:tcW w:w="1000" w:type="pct"/>
          </w:tcPr>
          <w:p w:rsidR="004C3112" w:rsidRPr="004C3112" w:rsidRDefault="004C3112" w:rsidP="00DC5B88">
            <w:pPr>
              <w:jc w:val="both"/>
              <w:rPr>
                <w:rFonts w:ascii="Verdana" w:hAnsi="Verdana"/>
                <w:sz w:val="20"/>
                <w:szCs w:val="20"/>
              </w:rPr>
            </w:pPr>
            <w:r>
              <w:rPr>
                <w:rFonts w:ascii="Verdana" w:hAnsi="Verdana"/>
                <w:b/>
                <w:sz w:val="20"/>
                <w:szCs w:val="20"/>
              </w:rPr>
              <w:t xml:space="preserve">RAC: </w:t>
            </w:r>
            <w:r w:rsidRPr="004C3112">
              <w:rPr>
                <w:rFonts w:ascii="Verdana" w:hAnsi="Verdana"/>
                <w:sz w:val="20"/>
                <w:szCs w:val="20"/>
              </w:rPr>
              <w:t>To our knowledge h</w:t>
            </w:r>
            <w:r w:rsidR="00A4462B">
              <w:rPr>
                <w:rFonts w:ascii="Verdana" w:hAnsi="Verdana"/>
                <w:sz w:val="20"/>
                <w:szCs w:val="20"/>
              </w:rPr>
              <w:t>uman data do not allow a</w:t>
            </w:r>
            <w:r w:rsidRPr="004C3112">
              <w:rPr>
                <w:rFonts w:ascii="Verdana" w:hAnsi="Verdana"/>
                <w:sz w:val="20"/>
                <w:szCs w:val="20"/>
              </w:rPr>
              <w:t xml:space="preserve"> conclusion on the association of testis cancer to phthalate exposure. </w:t>
            </w:r>
            <w:r w:rsidR="00A4462B">
              <w:rPr>
                <w:rFonts w:ascii="Verdana" w:hAnsi="Verdana"/>
                <w:sz w:val="20"/>
                <w:szCs w:val="20"/>
              </w:rPr>
              <w:t xml:space="preserve">Antiandrogenic effects have been speculated to be of relevance for increasing incidences of human testicular cancers. </w:t>
            </w:r>
            <w:r w:rsidR="00EE66BD">
              <w:rPr>
                <w:rFonts w:ascii="Verdana" w:hAnsi="Verdana"/>
                <w:sz w:val="20"/>
                <w:szCs w:val="20"/>
              </w:rPr>
              <w:t>No consistent findings on testicular tumors were seen for two phthalates where carcinogenicity data in rodents were available</w:t>
            </w:r>
            <w:r w:rsidR="006C5F6C">
              <w:rPr>
                <w:rFonts w:ascii="Verdana" w:hAnsi="Verdana"/>
                <w:sz w:val="20"/>
                <w:szCs w:val="20"/>
              </w:rPr>
              <w:t xml:space="preserve"> (DEHP and BBP)</w:t>
            </w:r>
            <w:r w:rsidR="00EE66BD">
              <w:rPr>
                <w:rFonts w:ascii="Verdana" w:hAnsi="Verdana"/>
                <w:sz w:val="20"/>
                <w:szCs w:val="20"/>
              </w:rPr>
              <w:t xml:space="preserve">, no carcinogenicity studies were available for the two other phthalates. Thus the </w:t>
            </w:r>
            <w:r>
              <w:rPr>
                <w:rFonts w:ascii="Verdana" w:hAnsi="Verdana"/>
                <w:sz w:val="20"/>
                <w:szCs w:val="20"/>
              </w:rPr>
              <w:t>DS approach to address adverse effects on the reproductive organs</w:t>
            </w:r>
            <w:r w:rsidR="00A4462B">
              <w:rPr>
                <w:rFonts w:ascii="Verdana" w:hAnsi="Verdana"/>
                <w:sz w:val="20"/>
                <w:szCs w:val="20"/>
              </w:rPr>
              <w:t xml:space="preserve"> by the four phthalates</w:t>
            </w:r>
            <w:r>
              <w:rPr>
                <w:rFonts w:ascii="Verdana" w:hAnsi="Verdana"/>
                <w:sz w:val="20"/>
                <w:szCs w:val="20"/>
              </w:rPr>
              <w:t xml:space="preserve"> that are </w:t>
            </w:r>
            <w:r w:rsidR="00A4462B">
              <w:rPr>
                <w:rFonts w:ascii="Verdana" w:hAnsi="Verdana"/>
                <w:sz w:val="20"/>
                <w:szCs w:val="20"/>
              </w:rPr>
              <w:t>mediated by a similar mode of actions to account for combined risks was appreciated.</w:t>
            </w:r>
          </w:p>
          <w:p w:rsidR="00473A7B" w:rsidRPr="006D5D6F" w:rsidRDefault="00473A7B" w:rsidP="00DC5B88">
            <w:pPr>
              <w:jc w:val="both"/>
              <w:rPr>
                <w:rFonts w:ascii="Verdana" w:hAnsi="Verdana"/>
                <w:b/>
                <w:sz w:val="20"/>
                <w:szCs w:val="20"/>
              </w:rPr>
            </w:pPr>
            <w:r w:rsidRPr="006D5D6F">
              <w:rPr>
                <w:rFonts w:ascii="Verdana" w:hAnsi="Verdana"/>
                <w:b/>
                <w:sz w:val="20"/>
                <w:szCs w:val="20"/>
              </w:rPr>
              <w:t xml:space="preserve">SEAC: </w:t>
            </w:r>
            <w:r w:rsidR="004300D3">
              <w:rPr>
                <w:rFonts w:ascii="Verdana" w:hAnsi="Verdana"/>
                <w:sz w:val="20"/>
                <w:szCs w:val="20"/>
              </w:rPr>
              <w:t>We agree that</w:t>
            </w:r>
            <w:r w:rsidR="00DC5B88">
              <w:rPr>
                <w:rFonts w:ascii="Verdana" w:hAnsi="Verdana"/>
                <w:sz w:val="20"/>
                <w:szCs w:val="20"/>
              </w:rPr>
              <w:t xml:space="preserve"> in principle</w:t>
            </w:r>
            <w:r w:rsidR="004300D3">
              <w:rPr>
                <w:rFonts w:ascii="Verdana" w:hAnsi="Verdana"/>
                <w:sz w:val="20"/>
                <w:szCs w:val="20"/>
              </w:rPr>
              <w:t xml:space="preserve"> other benefits (as </w:t>
            </w:r>
            <w:r w:rsidR="004300D3">
              <w:rPr>
                <w:rFonts w:ascii="Verdana" w:hAnsi="Verdana"/>
                <w:sz w:val="20"/>
                <w:szCs w:val="20"/>
              </w:rPr>
              <w:lastRenderedPageBreak/>
              <w:t>compared with</w:t>
            </w:r>
            <w:r w:rsidR="00DC5B88">
              <w:rPr>
                <w:rFonts w:ascii="Verdana" w:hAnsi="Verdana"/>
                <w:sz w:val="20"/>
                <w:szCs w:val="20"/>
              </w:rPr>
              <w:t xml:space="preserve"> impacts related to the reprotoxic effects of the four phthalates) should be taken into account. However, neither benefits related to the reprotoxic effects nor other benefits were demonstrated in this case.</w:t>
            </w:r>
          </w:p>
        </w:tc>
      </w:tr>
      <w:tr w:rsidR="00473A7B" w:rsidRPr="006D5D6F" w:rsidTr="00EB27EF">
        <w:trPr>
          <w:trHeight w:val="344"/>
        </w:trPr>
        <w:tc>
          <w:tcPr>
            <w:tcW w:w="235" w:type="pct"/>
            <w:vMerge/>
          </w:tcPr>
          <w:p w:rsidR="00473A7B" w:rsidRPr="006D5D6F" w:rsidRDefault="00473A7B" w:rsidP="00EB27EF">
            <w:pPr>
              <w:jc w:val="center"/>
              <w:rPr>
                <w:rFonts w:ascii="Verdana" w:hAnsi="Verdana"/>
                <w:b/>
                <w:noProof/>
                <w:sz w:val="20"/>
                <w:szCs w:val="20"/>
              </w:rPr>
            </w:pPr>
          </w:p>
        </w:tc>
        <w:tc>
          <w:tcPr>
            <w:tcW w:w="1060" w:type="pct"/>
            <w:vMerge/>
          </w:tcPr>
          <w:p w:rsidR="00473A7B" w:rsidRPr="006D5D6F" w:rsidRDefault="00473A7B" w:rsidP="00EB27EF">
            <w:pPr>
              <w:jc w:val="both"/>
              <w:rPr>
                <w:rFonts w:ascii="Verdana" w:hAnsi="Verdana"/>
                <w:noProof/>
                <w:sz w:val="20"/>
                <w:szCs w:val="20"/>
              </w:rPr>
            </w:pPr>
          </w:p>
        </w:tc>
        <w:tc>
          <w:tcPr>
            <w:tcW w:w="1658" w:type="pct"/>
            <w:gridSpan w:val="2"/>
          </w:tcPr>
          <w:p w:rsidR="00473A7B" w:rsidRPr="006D5D6F" w:rsidRDefault="00473A7B" w:rsidP="00EB27EF">
            <w:pPr>
              <w:jc w:val="both"/>
              <w:rPr>
                <w:rFonts w:ascii="Verdana" w:hAnsi="Verdana"/>
                <w:noProof/>
                <w:sz w:val="20"/>
                <w:szCs w:val="20"/>
              </w:rPr>
            </w:pPr>
            <w:r w:rsidRPr="006D5D6F">
              <w:rPr>
                <w:rFonts w:ascii="Verdana" w:hAnsi="Verdana"/>
                <w:noProof/>
                <w:sz w:val="20"/>
                <w:szCs w:val="20"/>
              </w:rPr>
              <w:t>Remaining comments are addressed in Table II, H 03.</w:t>
            </w:r>
          </w:p>
        </w:tc>
        <w:tc>
          <w:tcPr>
            <w:tcW w:w="1047" w:type="pct"/>
          </w:tcPr>
          <w:p w:rsidR="00473A7B" w:rsidRPr="006D5D6F" w:rsidRDefault="00473A7B" w:rsidP="00EB27EF">
            <w:pPr>
              <w:jc w:val="both"/>
              <w:rPr>
                <w:rFonts w:ascii="Verdana" w:hAnsi="Verdana"/>
                <w:b/>
                <w:sz w:val="20"/>
                <w:szCs w:val="20"/>
              </w:rPr>
            </w:pPr>
          </w:p>
        </w:tc>
        <w:tc>
          <w:tcPr>
            <w:tcW w:w="1000" w:type="pct"/>
          </w:tcPr>
          <w:p w:rsidR="00473A7B" w:rsidRPr="006D5D6F" w:rsidRDefault="00473A7B" w:rsidP="00EB27EF">
            <w:pPr>
              <w:jc w:val="both"/>
              <w:rPr>
                <w:rFonts w:ascii="Verdana" w:hAnsi="Verdana"/>
                <w:b/>
                <w:sz w:val="20"/>
                <w:szCs w:val="20"/>
              </w:rPr>
            </w:pPr>
          </w:p>
        </w:tc>
      </w:tr>
      <w:tr w:rsidR="00473A7B" w:rsidRPr="006D5D6F" w:rsidTr="00EB27EF">
        <w:trPr>
          <w:trHeight w:val="1577"/>
        </w:trPr>
        <w:tc>
          <w:tcPr>
            <w:tcW w:w="235" w:type="pct"/>
            <w:vMerge w:val="restart"/>
          </w:tcPr>
          <w:p w:rsidR="00473A7B" w:rsidRPr="006D5D6F" w:rsidRDefault="00473A7B" w:rsidP="00EB27EF">
            <w:pPr>
              <w:jc w:val="center"/>
              <w:rPr>
                <w:rFonts w:ascii="Verdana" w:hAnsi="Verdana"/>
                <w:b/>
                <w:noProof/>
                <w:sz w:val="20"/>
                <w:szCs w:val="20"/>
              </w:rPr>
            </w:pPr>
            <w:r w:rsidRPr="006D5D6F">
              <w:rPr>
                <w:rFonts w:ascii="Verdana" w:hAnsi="Verdana"/>
                <w:b/>
                <w:noProof/>
                <w:sz w:val="20"/>
                <w:szCs w:val="20"/>
              </w:rPr>
              <w:t>189</w:t>
            </w:r>
          </w:p>
        </w:tc>
        <w:tc>
          <w:tcPr>
            <w:tcW w:w="1060" w:type="pct"/>
            <w:vMerge w:val="restart"/>
          </w:tcPr>
          <w:p w:rsidR="00473A7B" w:rsidRPr="006D5D6F" w:rsidRDefault="00473A7B" w:rsidP="00EB27EF">
            <w:pPr>
              <w:jc w:val="both"/>
              <w:rPr>
                <w:rFonts w:ascii="Verdana" w:hAnsi="Verdana"/>
                <w:sz w:val="20"/>
                <w:szCs w:val="20"/>
              </w:rPr>
            </w:pPr>
            <w:smartTag w:uri="urn:schemas-microsoft-com:office:smarttags" w:element="country-region">
              <w:smartTag w:uri="urn:schemas-microsoft-com:office:smarttags" w:element="place">
                <w:r w:rsidRPr="006D5D6F">
                  <w:rPr>
                    <w:rFonts w:ascii="Verdana" w:hAnsi="Verdana"/>
                    <w:noProof/>
                    <w:sz w:val="20"/>
                    <w:szCs w:val="20"/>
                  </w:rPr>
                  <w:t>Slovenia</w:t>
                </w:r>
              </w:smartTag>
            </w:smartTag>
            <w:r w:rsidRPr="006D5D6F">
              <w:rPr>
                <w:rFonts w:ascii="Verdana" w:hAnsi="Verdana"/>
                <w:sz w:val="20"/>
                <w:szCs w:val="20"/>
              </w:rPr>
              <w:t xml:space="preserve"> / </w:t>
            </w:r>
            <w:r w:rsidRPr="006D5D6F">
              <w:rPr>
                <w:rFonts w:ascii="Verdana" w:hAnsi="Verdana"/>
                <w:noProof/>
                <w:sz w:val="20"/>
                <w:szCs w:val="20"/>
              </w:rPr>
              <w:t>Other contributor</w:t>
            </w:r>
            <w:r w:rsidRPr="006D5D6F">
              <w:rPr>
                <w:rFonts w:ascii="Verdana" w:hAnsi="Verdana"/>
                <w:sz w:val="20"/>
                <w:szCs w:val="20"/>
              </w:rPr>
              <w:t xml:space="preserve"> / </w:t>
            </w:r>
          </w:p>
          <w:p w:rsidR="00473A7B" w:rsidRPr="006D5D6F" w:rsidRDefault="00473A7B" w:rsidP="00EB27EF">
            <w:pPr>
              <w:jc w:val="both"/>
              <w:rPr>
                <w:rFonts w:ascii="Verdana" w:hAnsi="Verdana"/>
                <w:noProof/>
                <w:sz w:val="20"/>
                <w:szCs w:val="20"/>
              </w:rPr>
            </w:pPr>
          </w:p>
        </w:tc>
        <w:tc>
          <w:tcPr>
            <w:tcW w:w="1658" w:type="pct"/>
            <w:gridSpan w:val="2"/>
          </w:tcPr>
          <w:p w:rsidR="00473A7B" w:rsidRPr="006D5D6F" w:rsidRDefault="00473A7B" w:rsidP="00EB27EF">
            <w:pPr>
              <w:jc w:val="both"/>
              <w:rPr>
                <w:rFonts w:ascii="Verdana" w:hAnsi="Verdana"/>
                <w:noProof/>
                <w:sz w:val="20"/>
                <w:szCs w:val="20"/>
              </w:rPr>
            </w:pPr>
            <w:r w:rsidRPr="006D5D6F">
              <w:rPr>
                <w:rFonts w:ascii="Verdana" w:hAnsi="Verdana"/>
                <w:noProof/>
                <w:sz w:val="20"/>
                <w:szCs w:val="20"/>
              </w:rPr>
              <w:t>If the risk assessment for the individual product represent base for  safety assessment of this product in accordance with the provisions of Directive 2001/95/ES, it is necessary to determine the appropriate analytical method, which will cover the corresponding realistic worst case exposure scenarios.</w:t>
            </w:r>
          </w:p>
        </w:tc>
        <w:tc>
          <w:tcPr>
            <w:tcW w:w="1047" w:type="pct"/>
          </w:tcPr>
          <w:p w:rsidR="00473A7B" w:rsidRPr="006D5D6F" w:rsidRDefault="00473A7B" w:rsidP="00EB27EF">
            <w:pPr>
              <w:jc w:val="both"/>
              <w:rPr>
                <w:rFonts w:ascii="Verdana" w:hAnsi="Verdana"/>
                <w:sz w:val="20"/>
                <w:szCs w:val="20"/>
              </w:rPr>
            </w:pPr>
            <w:r w:rsidRPr="006D5D6F">
              <w:rPr>
                <w:rFonts w:ascii="Verdana" w:hAnsi="Verdana"/>
                <w:sz w:val="20"/>
                <w:szCs w:val="20"/>
              </w:rPr>
              <w:t xml:space="preserve">There is already existing legislation with the same limit value in </w:t>
            </w:r>
            <w:smartTag w:uri="urn:schemas-microsoft-com:office:smarttags" w:element="PersonName">
              <w:r w:rsidRPr="006D5D6F">
                <w:rPr>
                  <w:rFonts w:ascii="Verdana" w:hAnsi="Verdana"/>
                  <w:sz w:val="20"/>
                  <w:szCs w:val="20"/>
                </w:rPr>
                <w:t>REACH Annex XV</w:t>
              </w:r>
            </w:smartTag>
            <w:r w:rsidRPr="006D5D6F">
              <w:rPr>
                <w:rFonts w:ascii="Verdana" w:hAnsi="Verdana"/>
                <w:sz w:val="20"/>
                <w:szCs w:val="20"/>
              </w:rPr>
              <w:t>II, and an analytical method exists in order to control this entry.</w:t>
            </w:r>
          </w:p>
        </w:tc>
        <w:tc>
          <w:tcPr>
            <w:tcW w:w="1000" w:type="pct"/>
          </w:tcPr>
          <w:p w:rsidR="00473A7B" w:rsidRPr="006D5D6F" w:rsidRDefault="00473A7B" w:rsidP="00EB27EF">
            <w:pPr>
              <w:jc w:val="both"/>
              <w:rPr>
                <w:rFonts w:ascii="Verdana" w:hAnsi="Verdana"/>
                <w:b/>
                <w:sz w:val="20"/>
                <w:szCs w:val="20"/>
              </w:rPr>
            </w:pPr>
            <w:r w:rsidRPr="006D5D6F">
              <w:rPr>
                <w:rFonts w:ascii="Verdana" w:hAnsi="Verdana"/>
                <w:b/>
                <w:sz w:val="20"/>
                <w:szCs w:val="20"/>
              </w:rPr>
              <w:t>RAC</w:t>
            </w:r>
            <w:r w:rsidRPr="006D5D6F">
              <w:rPr>
                <w:rFonts w:ascii="Verdana" w:hAnsi="Verdana"/>
                <w:sz w:val="20"/>
                <w:szCs w:val="20"/>
              </w:rPr>
              <w:t>: No further comments.</w:t>
            </w:r>
            <w:r w:rsidRPr="006D5D6F">
              <w:rPr>
                <w:rFonts w:ascii="Verdana" w:hAnsi="Verdana"/>
                <w:b/>
                <w:sz w:val="20"/>
                <w:szCs w:val="20"/>
              </w:rPr>
              <w:t xml:space="preserve"> </w:t>
            </w:r>
          </w:p>
        </w:tc>
      </w:tr>
      <w:tr w:rsidR="00473A7B" w:rsidRPr="006D5D6F" w:rsidTr="00EB27EF">
        <w:trPr>
          <w:trHeight w:val="542"/>
        </w:trPr>
        <w:tc>
          <w:tcPr>
            <w:tcW w:w="235" w:type="pct"/>
            <w:vMerge/>
          </w:tcPr>
          <w:p w:rsidR="00473A7B" w:rsidRPr="006D5D6F" w:rsidRDefault="00473A7B" w:rsidP="00EB27EF">
            <w:pPr>
              <w:jc w:val="center"/>
              <w:rPr>
                <w:rFonts w:ascii="Verdana" w:hAnsi="Verdana"/>
                <w:b/>
                <w:noProof/>
                <w:sz w:val="20"/>
                <w:szCs w:val="20"/>
              </w:rPr>
            </w:pPr>
          </w:p>
        </w:tc>
        <w:tc>
          <w:tcPr>
            <w:tcW w:w="1060" w:type="pct"/>
            <w:vMerge/>
          </w:tcPr>
          <w:p w:rsidR="00473A7B" w:rsidRPr="006D5D6F" w:rsidRDefault="00473A7B" w:rsidP="00EB27EF">
            <w:pPr>
              <w:jc w:val="both"/>
              <w:rPr>
                <w:rFonts w:ascii="Verdana" w:hAnsi="Verdana"/>
                <w:noProof/>
                <w:sz w:val="20"/>
                <w:szCs w:val="20"/>
              </w:rPr>
            </w:pPr>
          </w:p>
        </w:tc>
        <w:tc>
          <w:tcPr>
            <w:tcW w:w="1658" w:type="pct"/>
            <w:gridSpan w:val="2"/>
          </w:tcPr>
          <w:p w:rsidR="00473A7B" w:rsidRPr="006D5D6F" w:rsidRDefault="00473A7B" w:rsidP="00EB27EF">
            <w:pPr>
              <w:jc w:val="both"/>
              <w:rPr>
                <w:rFonts w:ascii="Verdana" w:hAnsi="Verdana"/>
                <w:noProof/>
                <w:sz w:val="20"/>
                <w:szCs w:val="20"/>
              </w:rPr>
            </w:pPr>
            <w:r w:rsidRPr="006D5D6F">
              <w:rPr>
                <w:rFonts w:ascii="Verdana" w:hAnsi="Verdana"/>
                <w:noProof/>
                <w:sz w:val="20"/>
                <w:szCs w:val="20"/>
              </w:rPr>
              <w:t>Remaining comments are addressed in Table II, H 09 and 10.</w:t>
            </w:r>
          </w:p>
        </w:tc>
        <w:tc>
          <w:tcPr>
            <w:tcW w:w="1047" w:type="pct"/>
          </w:tcPr>
          <w:p w:rsidR="00473A7B" w:rsidRPr="0035710A" w:rsidRDefault="00473A7B" w:rsidP="00EB27EF">
            <w:pPr>
              <w:jc w:val="both"/>
              <w:rPr>
                <w:rFonts w:ascii="Verdana" w:hAnsi="Verdana"/>
                <w:b/>
                <w:sz w:val="20"/>
                <w:szCs w:val="20"/>
              </w:rPr>
            </w:pPr>
          </w:p>
        </w:tc>
        <w:tc>
          <w:tcPr>
            <w:tcW w:w="1000" w:type="pct"/>
          </w:tcPr>
          <w:p w:rsidR="00473A7B" w:rsidRPr="006D5D6F" w:rsidRDefault="00473A7B" w:rsidP="00EB27EF">
            <w:pPr>
              <w:jc w:val="both"/>
              <w:rPr>
                <w:rFonts w:ascii="Verdana" w:hAnsi="Verdana"/>
                <w:b/>
                <w:sz w:val="20"/>
                <w:szCs w:val="20"/>
              </w:rPr>
            </w:pPr>
          </w:p>
        </w:tc>
      </w:tr>
      <w:tr w:rsidR="00473A7B" w:rsidRPr="006D5D6F" w:rsidTr="00EB27EF">
        <w:trPr>
          <w:trHeight w:val="1964"/>
        </w:trPr>
        <w:tc>
          <w:tcPr>
            <w:tcW w:w="235" w:type="pct"/>
            <w:vMerge w:val="restart"/>
          </w:tcPr>
          <w:p w:rsidR="00473A7B" w:rsidRPr="006D5D6F" w:rsidRDefault="00473A7B" w:rsidP="00EB27EF">
            <w:pPr>
              <w:jc w:val="center"/>
              <w:rPr>
                <w:rFonts w:ascii="Verdana" w:hAnsi="Verdana"/>
                <w:b/>
                <w:noProof/>
                <w:sz w:val="20"/>
                <w:szCs w:val="20"/>
              </w:rPr>
            </w:pPr>
            <w:r w:rsidRPr="006D5D6F">
              <w:rPr>
                <w:rFonts w:ascii="Verdana" w:hAnsi="Verdana"/>
                <w:b/>
                <w:noProof/>
                <w:sz w:val="20"/>
                <w:szCs w:val="20"/>
              </w:rPr>
              <w:t>184</w:t>
            </w:r>
          </w:p>
        </w:tc>
        <w:tc>
          <w:tcPr>
            <w:tcW w:w="1060" w:type="pct"/>
            <w:vMerge w:val="restart"/>
          </w:tcPr>
          <w:p w:rsidR="00473A7B" w:rsidRPr="006D5D6F" w:rsidRDefault="00473A7B" w:rsidP="00EB27EF">
            <w:pPr>
              <w:jc w:val="both"/>
              <w:rPr>
                <w:rFonts w:ascii="Verdana" w:hAnsi="Verdana"/>
                <w:noProof/>
                <w:sz w:val="20"/>
                <w:szCs w:val="20"/>
              </w:rPr>
            </w:pPr>
            <w:smartTag w:uri="urn:schemas-microsoft-com:office:smarttags" w:element="country-region">
              <w:smartTag w:uri="urn:schemas-microsoft-com:office:smarttags" w:element="place">
                <w:r w:rsidRPr="006D5D6F">
                  <w:rPr>
                    <w:rFonts w:ascii="Verdana" w:hAnsi="Verdana"/>
                    <w:noProof/>
                    <w:sz w:val="20"/>
                    <w:szCs w:val="20"/>
                  </w:rPr>
                  <w:t>Denmark</w:t>
                </w:r>
              </w:smartTag>
            </w:smartTag>
            <w:r w:rsidRPr="006D5D6F">
              <w:rPr>
                <w:rFonts w:ascii="Verdana" w:hAnsi="Verdana"/>
                <w:sz w:val="20"/>
                <w:szCs w:val="20"/>
              </w:rPr>
              <w:t xml:space="preserve"> / </w:t>
            </w:r>
            <w:r w:rsidRPr="006D5D6F">
              <w:rPr>
                <w:rFonts w:ascii="Verdana" w:hAnsi="Verdana"/>
                <w:noProof/>
                <w:sz w:val="20"/>
                <w:szCs w:val="20"/>
              </w:rPr>
              <w:t>Company</w:t>
            </w:r>
            <w:r w:rsidRPr="006D5D6F">
              <w:rPr>
                <w:rFonts w:ascii="Verdana" w:hAnsi="Verdana"/>
                <w:sz w:val="20"/>
                <w:szCs w:val="20"/>
              </w:rPr>
              <w:t xml:space="preserve"> / </w:t>
            </w:r>
            <w:r w:rsidRPr="006D5D6F">
              <w:rPr>
                <w:rFonts w:ascii="Verdana" w:hAnsi="Verdana"/>
                <w:noProof/>
                <w:sz w:val="20"/>
                <w:szCs w:val="20"/>
              </w:rPr>
              <w:t>Danisco/ Du Pont</w:t>
            </w:r>
          </w:p>
          <w:p w:rsidR="00473A7B" w:rsidRPr="006D5D6F" w:rsidRDefault="00473A7B" w:rsidP="00EB27EF">
            <w:pPr>
              <w:jc w:val="both"/>
              <w:rPr>
                <w:rFonts w:ascii="Verdana" w:hAnsi="Verdana"/>
                <w:noProof/>
                <w:sz w:val="20"/>
                <w:szCs w:val="20"/>
              </w:rPr>
            </w:pPr>
            <w:r w:rsidRPr="006D5D6F">
              <w:rPr>
                <w:rFonts w:ascii="Verdana" w:hAnsi="Verdana"/>
                <w:noProof/>
                <w:sz w:val="20"/>
                <w:szCs w:val="20"/>
              </w:rPr>
              <w:object w:dxaOrig="1534"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14" o:title=""/>
                </v:shape>
                <o:OLEObject Type="Embed" ProgID="Word.Document.8" ShapeID="_x0000_i1025" DrawAspect="Icon" ObjectID="_1594549401" r:id="rId15">
                  <o:FieldCodes>\s</o:FieldCodes>
                </o:OLEObject>
              </w:object>
            </w:r>
          </w:p>
        </w:tc>
        <w:tc>
          <w:tcPr>
            <w:tcW w:w="1658" w:type="pct"/>
            <w:gridSpan w:val="2"/>
          </w:tcPr>
          <w:p w:rsidR="00473A7B" w:rsidRPr="006D5D6F" w:rsidRDefault="00473A7B" w:rsidP="00EB27EF">
            <w:pPr>
              <w:jc w:val="both"/>
              <w:rPr>
                <w:rFonts w:ascii="Verdana" w:hAnsi="Verdana"/>
                <w:noProof/>
                <w:sz w:val="20"/>
                <w:szCs w:val="20"/>
              </w:rPr>
            </w:pPr>
            <w:r w:rsidRPr="006D5D6F">
              <w:rPr>
                <w:rFonts w:ascii="Verdana" w:hAnsi="Verdana"/>
                <w:noProof/>
                <w:sz w:val="20"/>
                <w:szCs w:val="20"/>
              </w:rPr>
              <w:t>We have added comments to the Annex XV proposal for restriction report using track changes and attached to this web form. Our comments focus on the alternative named COMGHA, described in section C.5 of the report. We would kindly like to ask that the rest of the report should be updated based on the submitted comments</w:t>
            </w:r>
          </w:p>
        </w:tc>
        <w:tc>
          <w:tcPr>
            <w:tcW w:w="1047" w:type="pct"/>
          </w:tcPr>
          <w:p w:rsidR="00473A7B" w:rsidRPr="0035710A" w:rsidRDefault="00473A7B" w:rsidP="00EB27EF">
            <w:pPr>
              <w:jc w:val="both"/>
              <w:rPr>
                <w:rFonts w:ascii="Verdana" w:hAnsi="Verdana"/>
                <w:sz w:val="20"/>
                <w:szCs w:val="20"/>
              </w:rPr>
            </w:pPr>
            <w:r w:rsidRPr="0035710A">
              <w:rPr>
                <w:rFonts w:ascii="Verdana" w:hAnsi="Verdana"/>
                <w:sz w:val="20"/>
                <w:szCs w:val="20"/>
              </w:rPr>
              <w:t>We see no reasons not to do this - the proposed changes will however not change anything of importance in the conclusion, that this is a good alternative in some articles; the changes are of a "secretarial" matter only.</w:t>
            </w:r>
          </w:p>
        </w:tc>
        <w:tc>
          <w:tcPr>
            <w:tcW w:w="1000" w:type="pct"/>
          </w:tcPr>
          <w:p w:rsidR="00473A7B" w:rsidRPr="006D5D6F" w:rsidRDefault="00473A7B" w:rsidP="00EB27EF">
            <w:pPr>
              <w:jc w:val="both"/>
              <w:rPr>
                <w:rFonts w:ascii="Verdana" w:hAnsi="Verdana"/>
                <w:b/>
                <w:sz w:val="20"/>
                <w:szCs w:val="20"/>
              </w:rPr>
            </w:pPr>
            <w:r w:rsidRPr="006D5D6F">
              <w:rPr>
                <w:rFonts w:ascii="Verdana" w:hAnsi="Verdana"/>
                <w:b/>
                <w:sz w:val="20"/>
                <w:szCs w:val="20"/>
              </w:rPr>
              <w:t>SEAC:</w:t>
            </w:r>
            <w:r w:rsidRPr="006D5D6F">
              <w:rPr>
                <w:rFonts w:ascii="Verdana" w:hAnsi="Verdana"/>
                <w:sz w:val="20"/>
                <w:szCs w:val="20"/>
              </w:rPr>
              <w:t xml:space="preserve"> No further comments</w:t>
            </w:r>
            <w:r w:rsidR="00116176">
              <w:rPr>
                <w:rFonts w:ascii="Verdana" w:hAnsi="Verdana"/>
                <w:sz w:val="20"/>
                <w:szCs w:val="20"/>
              </w:rPr>
              <w:t xml:space="preserve"> (the comments provided by Danisco were taken up in the BD)</w:t>
            </w:r>
            <w:r w:rsidRPr="006D5D6F">
              <w:rPr>
                <w:rFonts w:ascii="Verdana" w:hAnsi="Verdana"/>
                <w:sz w:val="20"/>
                <w:szCs w:val="20"/>
              </w:rPr>
              <w:t>.</w:t>
            </w:r>
          </w:p>
        </w:tc>
      </w:tr>
      <w:tr w:rsidR="00473A7B" w:rsidRPr="006D5D6F" w:rsidTr="00EB27EF">
        <w:trPr>
          <w:trHeight w:val="470"/>
        </w:trPr>
        <w:tc>
          <w:tcPr>
            <w:tcW w:w="235" w:type="pct"/>
            <w:vMerge/>
          </w:tcPr>
          <w:p w:rsidR="00473A7B" w:rsidRPr="006D5D6F" w:rsidRDefault="00473A7B" w:rsidP="00EB27EF">
            <w:pPr>
              <w:jc w:val="center"/>
              <w:rPr>
                <w:rFonts w:ascii="Verdana" w:hAnsi="Verdana"/>
                <w:b/>
                <w:noProof/>
                <w:sz w:val="20"/>
                <w:szCs w:val="20"/>
              </w:rPr>
            </w:pPr>
          </w:p>
        </w:tc>
        <w:tc>
          <w:tcPr>
            <w:tcW w:w="1060" w:type="pct"/>
            <w:vMerge/>
          </w:tcPr>
          <w:p w:rsidR="00473A7B" w:rsidRPr="006D5D6F" w:rsidRDefault="00473A7B" w:rsidP="00EB27EF">
            <w:pPr>
              <w:jc w:val="both"/>
              <w:rPr>
                <w:rFonts w:ascii="Verdana" w:hAnsi="Verdana"/>
                <w:noProof/>
                <w:sz w:val="20"/>
                <w:szCs w:val="20"/>
              </w:rPr>
            </w:pPr>
          </w:p>
        </w:tc>
        <w:tc>
          <w:tcPr>
            <w:tcW w:w="1658" w:type="pct"/>
            <w:gridSpan w:val="2"/>
          </w:tcPr>
          <w:p w:rsidR="00473A7B" w:rsidRPr="006D5D6F" w:rsidRDefault="00473A7B" w:rsidP="00EB27EF">
            <w:pPr>
              <w:jc w:val="both"/>
              <w:rPr>
                <w:rFonts w:ascii="Verdana" w:hAnsi="Verdana"/>
                <w:noProof/>
                <w:sz w:val="20"/>
                <w:szCs w:val="20"/>
              </w:rPr>
            </w:pPr>
            <w:r w:rsidRPr="006D5D6F">
              <w:rPr>
                <w:rFonts w:ascii="Verdana" w:hAnsi="Verdana"/>
                <w:noProof/>
                <w:sz w:val="20"/>
                <w:szCs w:val="20"/>
              </w:rPr>
              <w:t>Remaining comments are addressed in Table II, H 09.</w:t>
            </w:r>
          </w:p>
        </w:tc>
        <w:tc>
          <w:tcPr>
            <w:tcW w:w="1047" w:type="pct"/>
          </w:tcPr>
          <w:p w:rsidR="00473A7B" w:rsidRPr="006D5D6F" w:rsidRDefault="00473A7B" w:rsidP="00EB27EF">
            <w:pPr>
              <w:jc w:val="both"/>
              <w:rPr>
                <w:rFonts w:ascii="Verdana" w:hAnsi="Verdana"/>
                <w:b/>
                <w:sz w:val="20"/>
                <w:szCs w:val="20"/>
              </w:rPr>
            </w:pPr>
          </w:p>
        </w:tc>
        <w:tc>
          <w:tcPr>
            <w:tcW w:w="1000" w:type="pct"/>
          </w:tcPr>
          <w:p w:rsidR="00473A7B" w:rsidRPr="006D5D6F" w:rsidRDefault="00473A7B" w:rsidP="00EB27EF">
            <w:pPr>
              <w:jc w:val="both"/>
              <w:rPr>
                <w:rFonts w:ascii="Verdana" w:hAnsi="Verdana"/>
                <w:b/>
                <w:sz w:val="20"/>
                <w:szCs w:val="20"/>
              </w:rPr>
            </w:pPr>
          </w:p>
        </w:tc>
      </w:tr>
      <w:tr w:rsidR="00473A7B" w:rsidRPr="006D5D6F" w:rsidTr="00EB27EF">
        <w:trPr>
          <w:trHeight w:val="1424"/>
        </w:trPr>
        <w:tc>
          <w:tcPr>
            <w:tcW w:w="235" w:type="pct"/>
            <w:vMerge w:val="restart"/>
          </w:tcPr>
          <w:p w:rsidR="00473A7B" w:rsidRPr="006D5D6F" w:rsidRDefault="00473A7B" w:rsidP="00EB27EF">
            <w:pPr>
              <w:jc w:val="center"/>
              <w:rPr>
                <w:rFonts w:ascii="Verdana" w:hAnsi="Verdana"/>
                <w:b/>
                <w:sz w:val="20"/>
                <w:szCs w:val="20"/>
              </w:rPr>
            </w:pPr>
            <w:r w:rsidRPr="006D5D6F">
              <w:rPr>
                <w:rFonts w:ascii="Verdana" w:hAnsi="Verdana"/>
                <w:b/>
                <w:noProof/>
                <w:sz w:val="20"/>
                <w:szCs w:val="20"/>
              </w:rPr>
              <w:t>166</w:t>
            </w:r>
          </w:p>
        </w:tc>
        <w:tc>
          <w:tcPr>
            <w:tcW w:w="1060" w:type="pct"/>
            <w:vMerge w:val="restart"/>
          </w:tcPr>
          <w:p w:rsidR="00473A7B" w:rsidRPr="006D5D6F" w:rsidRDefault="00473A7B" w:rsidP="00EB27EF">
            <w:pPr>
              <w:jc w:val="both"/>
              <w:rPr>
                <w:rFonts w:ascii="Verdana" w:hAnsi="Verdana"/>
                <w:sz w:val="20"/>
                <w:szCs w:val="20"/>
              </w:rPr>
            </w:pPr>
            <w:smartTag w:uri="urn:schemas-microsoft-com:office:smarttags" w:element="country-region">
              <w:smartTag w:uri="urn:schemas-microsoft-com:office:smarttags" w:element="place">
                <w:r w:rsidRPr="006D5D6F">
                  <w:rPr>
                    <w:rFonts w:ascii="Verdana" w:hAnsi="Verdana"/>
                    <w:noProof/>
                    <w:sz w:val="20"/>
                    <w:szCs w:val="20"/>
                  </w:rPr>
                  <w:t>Finland</w:t>
                </w:r>
              </w:smartTag>
            </w:smartTag>
            <w:r w:rsidRPr="006D5D6F">
              <w:rPr>
                <w:rFonts w:ascii="Verdana" w:hAnsi="Verdana"/>
                <w:noProof/>
                <w:sz w:val="20"/>
                <w:szCs w:val="20"/>
              </w:rPr>
              <w:t xml:space="preserve"> MSCA</w:t>
            </w:r>
            <w:r w:rsidRPr="006D5D6F">
              <w:rPr>
                <w:rFonts w:ascii="Verdana" w:hAnsi="Verdana"/>
                <w:sz w:val="20"/>
                <w:szCs w:val="20"/>
              </w:rPr>
              <w:t xml:space="preserve"> </w:t>
            </w:r>
          </w:p>
        </w:tc>
        <w:tc>
          <w:tcPr>
            <w:tcW w:w="1658" w:type="pct"/>
            <w:gridSpan w:val="2"/>
            <w:vMerge w:val="restart"/>
          </w:tcPr>
          <w:p w:rsidR="00473A7B" w:rsidRPr="006D5D6F" w:rsidRDefault="00473A7B" w:rsidP="00EB27EF">
            <w:pPr>
              <w:jc w:val="both"/>
              <w:rPr>
                <w:rFonts w:ascii="Verdana" w:hAnsi="Verdana"/>
                <w:sz w:val="20"/>
                <w:szCs w:val="20"/>
                <w:highlight w:val="green"/>
              </w:rPr>
            </w:pPr>
            <w:r w:rsidRPr="006D5D6F">
              <w:rPr>
                <w:rFonts w:ascii="Verdana" w:hAnsi="Verdana"/>
                <w:noProof/>
                <w:sz w:val="20"/>
                <w:szCs w:val="20"/>
              </w:rPr>
              <w:t>We also recommend displaying elimination half-lives of the substances in the dossier to give a better understanding of simultaneous exposure.</w:t>
            </w:r>
          </w:p>
        </w:tc>
        <w:tc>
          <w:tcPr>
            <w:tcW w:w="1047" w:type="pct"/>
            <w:vMerge w:val="restart"/>
          </w:tcPr>
          <w:p w:rsidR="00473A7B" w:rsidRPr="006D5D6F" w:rsidRDefault="00473A7B" w:rsidP="00EB27EF">
            <w:pPr>
              <w:jc w:val="both"/>
              <w:rPr>
                <w:rFonts w:ascii="Verdana" w:hAnsi="Verdana"/>
                <w:sz w:val="20"/>
                <w:szCs w:val="20"/>
              </w:rPr>
            </w:pPr>
            <w:r w:rsidRPr="006D5D6F">
              <w:rPr>
                <w:rFonts w:ascii="Verdana" w:hAnsi="Verdana"/>
                <w:sz w:val="20"/>
                <w:szCs w:val="20"/>
              </w:rPr>
              <w:t>The biomonitoring data shows that there is a repetitive exposure to the phthalates as the elimination half-lives generally are relatively short.</w:t>
            </w:r>
          </w:p>
          <w:p w:rsidR="00473A7B" w:rsidRPr="006D5D6F" w:rsidRDefault="00473A7B" w:rsidP="00EB27EF">
            <w:pPr>
              <w:jc w:val="both"/>
              <w:rPr>
                <w:rFonts w:ascii="Verdana" w:hAnsi="Verdana"/>
                <w:sz w:val="20"/>
                <w:szCs w:val="20"/>
              </w:rPr>
            </w:pPr>
          </w:p>
          <w:p w:rsidR="00473A7B" w:rsidRPr="006D5D6F" w:rsidRDefault="00473A7B" w:rsidP="00EB27EF">
            <w:pPr>
              <w:jc w:val="both"/>
              <w:rPr>
                <w:rFonts w:ascii="Verdana" w:hAnsi="Verdana"/>
                <w:b/>
                <w:sz w:val="20"/>
                <w:szCs w:val="20"/>
                <w:highlight w:val="green"/>
              </w:rPr>
            </w:pPr>
            <w:r w:rsidRPr="006D5D6F">
              <w:rPr>
                <w:rFonts w:ascii="Verdana" w:hAnsi="Verdana"/>
                <w:sz w:val="20"/>
                <w:szCs w:val="20"/>
              </w:rPr>
              <w:t xml:space="preserve">  </w:t>
            </w:r>
          </w:p>
        </w:tc>
        <w:tc>
          <w:tcPr>
            <w:tcW w:w="1000" w:type="pct"/>
          </w:tcPr>
          <w:p w:rsidR="00473A7B" w:rsidRPr="006D5D6F" w:rsidRDefault="00473A7B" w:rsidP="00EB27EF">
            <w:pPr>
              <w:jc w:val="both"/>
              <w:rPr>
                <w:rFonts w:ascii="Verdana" w:hAnsi="Verdana"/>
                <w:b/>
                <w:sz w:val="20"/>
                <w:szCs w:val="20"/>
              </w:rPr>
            </w:pPr>
          </w:p>
        </w:tc>
      </w:tr>
      <w:tr w:rsidR="00473A7B" w:rsidRPr="006D5D6F" w:rsidTr="00EB27EF">
        <w:tc>
          <w:tcPr>
            <w:tcW w:w="235" w:type="pct"/>
            <w:vMerge/>
          </w:tcPr>
          <w:p w:rsidR="00473A7B" w:rsidRPr="006D5D6F" w:rsidRDefault="00473A7B" w:rsidP="00EB27EF">
            <w:pPr>
              <w:jc w:val="center"/>
              <w:rPr>
                <w:rFonts w:ascii="Verdana" w:hAnsi="Verdana"/>
                <w:b/>
                <w:noProof/>
                <w:sz w:val="20"/>
                <w:szCs w:val="20"/>
              </w:rPr>
            </w:pPr>
          </w:p>
        </w:tc>
        <w:tc>
          <w:tcPr>
            <w:tcW w:w="1060" w:type="pct"/>
            <w:vMerge/>
          </w:tcPr>
          <w:p w:rsidR="00473A7B" w:rsidRPr="006D5D6F" w:rsidRDefault="00473A7B" w:rsidP="00EB27EF">
            <w:pPr>
              <w:jc w:val="both"/>
              <w:rPr>
                <w:rFonts w:ascii="Verdana" w:hAnsi="Verdana"/>
                <w:noProof/>
                <w:sz w:val="20"/>
                <w:szCs w:val="20"/>
              </w:rPr>
            </w:pPr>
          </w:p>
        </w:tc>
        <w:tc>
          <w:tcPr>
            <w:tcW w:w="1658" w:type="pct"/>
            <w:gridSpan w:val="2"/>
            <w:vMerge/>
          </w:tcPr>
          <w:p w:rsidR="00473A7B" w:rsidRPr="006D5D6F" w:rsidRDefault="00473A7B" w:rsidP="00EB27EF">
            <w:pPr>
              <w:jc w:val="both"/>
              <w:rPr>
                <w:rFonts w:ascii="Verdana" w:hAnsi="Verdana"/>
                <w:noProof/>
                <w:sz w:val="20"/>
                <w:szCs w:val="20"/>
              </w:rPr>
            </w:pPr>
          </w:p>
        </w:tc>
        <w:tc>
          <w:tcPr>
            <w:tcW w:w="1047" w:type="pct"/>
            <w:vMerge/>
          </w:tcPr>
          <w:p w:rsidR="00473A7B" w:rsidRPr="006D5D6F" w:rsidRDefault="00473A7B" w:rsidP="00EB27EF">
            <w:pPr>
              <w:jc w:val="both"/>
              <w:rPr>
                <w:rFonts w:ascii="Verdana" w:hAnsi="Verdana"/>
                <w:sz w:val="20"/>
                <w:szCs w:val="20"/>
              </w:rPr>
            </w:pPr>
          </w:p>
        </w:tc>
        <w:tc>
          <w:tcPr>
            <w:tcW w:w="1000" w:type="pct"/>
          </w:tcPr>
          <w:p w:rsidR="00473A7B" w:rsidRPr="006D5D6F" w:rsidRDefault="00473A7B" w:rsidP="00EB27EF">
            <w:pPr>
              <w:jc w:val="both"/>
              <w:rPr>
                <w:rFonts w:ascii="Verdana" w:hAnsi="Verdana"/>
                <w:b/>
                <w:sz w:val="20"/>
                <w:szCs w:val="20"/>
              </w:rPr>
            </w:pPr>
          </w:p>
        </w:tc>
      </w:tr>
      <w:tr w:rsidR="00473A7B" w:rsidRPr="006D5D6F" w:rsidTr="00EB27EF">
        <w:tc>
          <w:tcPr>
            <w:tcW w:w="235" w:type="pct"/>
            <w:vMerge/>
          </w:tcPr>
          <w:p w:rsidR="00473A7B" w:rsidRPr="006D5D6F" w:rsidRDefault="00473A7B" w:rsidP="00EB27EF">
            <w:pPr>
              <w:jc w:val="center"/>
              <w:rPr>
                <w:rFonts w:ascii="Verdana" w:hAnsi="Verdana"/>
                <w:b/>
                <w:noProof/>
                <w:sz w:val="20"/>
                <w:szCs w:val="20"/>
              </w:rPr>
            </w:pPr>
          </w:p>
        </w:tc>
        <w:tc>
          <w:tcPr>
            <w:tcW w:w="1060" w:type="pct"/>
            <w:vMerge/>
          </w:tcPr>
          <w:p w:rsidR="00473A7B" w:rsidRPr="006D5D6F" w:rsidRDefault="00473A7B" w:rsidP="00EB27EF">
            <w:pPr>
              <w:jc w:val="both"/>
              <w:rPr>
                <w:rFonts w:ascii="Verdana" w:hAnsi="Verdana"/>
                <w:noProof/>
                <w:sz w:val="20"/>
                <w:szCs w:val="20"/>
              </w:rPr>
            </w:pPr>
          </w:p>
        </w:tc>
        <w:tc>
          <w:tcPr>
            <w:tcW w:w="1658" w:type="pct"/>
            <w:gridSpan w:val="2"/>
          </w:tcPr>
          <w:p w:rsidR="00473A7B" w:rsidRPr="006D5D6F" w:rsidRDefault="00473A7B" w:rsidP="00EB27EF">
            <w:pPr>
              <w:jc w:val="both"/>
              <w:rPr>
                <w:rFonts w:ascii="Verdana" w:hAnsi="Verdana"/>
                <w:noProof/>
                <w:sz w:val="20"/>
                <w:szCs w:val="20"/>
              </w:rPr>
            </w:pPr>
            <w:r w:rsidRPr="006D5D6F">
              <w:rPr>
                <w:rFonts w:ascii="Verdana" w:hAnsi="Verdana"/>
                <w:noProof/>
                <w:sz w:val="20"/>
                <w:szCs w:val="20"/>
              </w:rPr>
              <w:t xml:space="preserve">Comparison of the total exposure from articles under the proposed restriction with the total exposure from all sources would give important information to estimate the impact of the proposed re-striction. Moreover, modeling the estimated exposure after restriction and comparing it with the total exposure to see the impact of the restriction is welcomed. Also, the levels of the remaining ex-posure from articles not in the scope of the restriction and exposure from food, that is generally re-garded as a major source of phthalate exposure for adults (Wittassek et al. 2011), would give valua-ble information. We consider that a more thorough analysis concerning the grounds for selecting 0.1 % as a concentration limit for the restriction proposal would be needed. By determining the impact of the restriction would in our opinion </w:t>
            </w:r>
            <w:r w:rsidRPr="006D5D6F">
              <w:rPr>
                <w:rFonts w:ascii="Verdana" w:hAnsi="Verdana"/>
                <w:noProof/>
                <w:sz w:val="20"/>
                <w:szCs w:val="20"/>
              </w:rPr>
              <w:lastRenderedPageBreak/>
              <w:t>help to assess the concentration limit for the restriction.</w:t>
            </w:r>
          </w:p>
        </w:tc>
        <w:tc>
          <w:tcPr>
            <w:tcW w:w="1047" w:type="pct"/>
          </w:tcPr>
          <w:p w:rsidR="00473A7B" w:rsidRPr="006D5D6F" w:rsidRDefault="00473A7B" w:rsidP="00EB27EF">
            <w:pPr>
              <w:jc w:val="both"/>
              <w:rPr>
                <w:rFonts w:ascii="Verdana" w:hAnsi="Verdana"/>
                <w:sz w:val="20"/>
                <w:szCs w:val="20"/>
              </w:rPr>
            </w:pPr>
            <w:r w:rsidRPr="006D5D6F">
              <w:rPr>
                <w:rFonts w:ascii="Verdana" w:hAnsi="Verdana"/>
                <w:sz w:val="20"/>
                <w:szCs w:val="20"/>
              </w:rPr>
              <w:lastRenderedPageBreak/>
              <w:t>This has been done to the extent possible.</w:t>
            </w:r>
          </w:p>
          <w:p w:rsidR="00473A7B" w:rsidRPr="006D5D6F" w:rsidRDefault="00473A7B" w:rsidP="00EB27EF">
            <w:pPr>
              <w:jc w:val="both"/>
              <w:rPr>
                <w:rFonts w:ascii="Verdana" w:hAnsi="Verdana"/>
                <w:sz w:val="20"/>
                <w:szCs w:val="20"/>
              </w:rPr>
            </w:pPr>
          </w:p>
          <w:p w:rsidR="00473A7B" w:rsidRPr="006D5D6F" w:rsidRDefault="00473A7B" w:rsidP="00EB27EF">
            <w:pPr>
              <w:jc w:val="both"/>
              <w:rPr>
                <w:rFonts w:ascii="Verdana" w:hAnsi="Verdana"/>
                <w:sz w:val="20"/>
                <w:szCs w:val="20"/>
              </w:rPr>
            </w:pPr>
            <w:r w:rsidRPr="006D5D6F">
              <w:rPr>
                <w:rFonts w:ascii="Verdana" w:hAnsi="Verdana"/>
                <w:sz w:val="20"/>
                <w:szCs w:val="20"/>
              </w:rPr>
              <w:t xml:space="preserve">The 0.1% is chosen as this is already the limit that exists in current legislation in </w:t>
            </w:r>
            <w:smartTag w:uri="urn:schemas-microsoft-com:office:smarttags" w:element="PersonName">
              <w:r w:rsidRPr="006D5D6F">
                <w:rPr>
                  <w:rFonts w:ascii="Verdana" w:hAnsi="Verdana"/>
                  <w:sz w:val="20"/>
                  <w:szCs w:val="20"/>
                </w:rPr>
                <w:t>REACH Annex XV</w:t>
              </w:r>
            </w:smartTag>
            <w:r w:rsidRPr="006D5D6F">
              <w:rPr>
                <w:rFonts w:ascii="Verdana" w:hAnsi="Verdana"/>
                <w:sz w:val="20"/>
                <w:szCs w:val="20"/>
              </w:rPr>
              <w:t>II and thus this limit is easy for all stakeholders to rely to.</w:t>
            </w:r>
          </w:p>
          <w:p w:rsidR="00473A7B" w:rsidRPr="006D5D6F" w:rsidRDefault="00473A7B" w:rsidP="00EB27EF">
            <w:pPr>
              <w:jc w:val="both"/>
              <w:rPr>
                <w:rFonts w:ascii="Verdana" w:hAnsi="Verdana"/>
                <w:sz w:val="20"/>
                <w:szCs w:val="20"/>
              </w:rPr>
            </w:pPr>
          </w:p>
          <w:p w:rsidR="00473A7B" w:rsidRPr="006D5D6F" w:rsidRDefault="00473A7B" w:rsidP="00EB27EF">
            <w:pPr>
              <w:jc w:val="both"/>
              <w:rPr>
                <w:rFonts w:ascii="Verdana" w:hAnsi="Verdana"/>
                <w:b/>
                <w:sz w:val="20"/>
                <w:szCs w:val="20"/>
              </w:rPr>
            </w:pPr>
            <w:r w:rsidRPr="006D5D6F">
              <w:rPr>
                <w:rFonts w:ascii="Verdana" w:hAnsi="Verdana"/>
                <w:sz w:val="20"/>
                <w:szCs w:val="20"/>
              </w:rPr>
              <w:t>Data has shown no linear correlation between content and migration (shown in the BD, section B), so it would not be possible to determine "a concentration limit for the restriction". It has to be as low as possible in order to protect the population.</w:t>
            </w:r>
          </w:p>
        </w:tc>
        <w:tc>
          <w:tcPr>
            <w:tcW w:w="1000" w:type="pct"/>
          </w:tcPr>
          <w:p w:rsidR="00473A7B" w:rsidRPr="006D5D6F" w:rsidRDefault="00473A7B" w:rsidP="00EB27EF">
            <w:pPr>
              <w:jc w:val="both"/>
              <w:rPr>
                <w:rFonts w:ascii="Verdana" w:hAnsi="Verdana"/>
                <w:b/>
                <w:sz w:val="20"/>
                <w:szCs w:val="20"/>
              </w:rPr>
            </w:pPr>
            <w:r w:rsidRPr="006D5D6F">
              <w:rPr>
                <w:rFonts w:ascii="Verdana" w:hAnsi="Verdana"/>
                <w:b/>
                <w:sz w:val="20"/>
                <w:szCs w:val="20"/>
              </w:rPr>
              <w:t xml:space="preserve">RAC: </w:t>
            </w:r>
          </w:p>
          <w:p w:rsidR="00473A7B" w:rsidRPr="006D5D6F" w:rsidRDefault="00473A7B" w:rsidP="00EB27EF">
            <w:pPr>
              <w:jc w:val="both"/>
              <w:rPr>
                <w:rFonts w:ascii="Verdana" w:hAnsi="Verdana"/>
                <w:sz w:val="20"/>
                <w:szCs w:val="20"/>
              </w:rPr>
            </w:pPr>
            <w:r w:rsidRPr="006D5D6F">
              <w:rPr>
                <w:rFonts w:ascii="Verdana" w:hAnsi="Verdana"/>
                <w:sz w:val="20"/>
                <w:szCs w:val="20"/>
              </w:rPr>
              <w:t xml:space="preserve">The contribution of food to the total exposure considering the recent legislation on FCM and validity of the studies on exposure via food and indoor environment were carefully reviewed and new risk characterisation calculations were revised in line with the recommendations of RAC. Due to the lack of data there are however a number of remaining uncertainties that could not be eliminated. For further </w:t>
            </w:r>
            <w:r w:rsidRPr="006D5D6F">
              <w:rPr>
                <w:rFonts w:ascii="Verdana" w:hAnsi="Verdana"/>
                <w:sz w:val="20"/>
                <w:szCs w:val="20"/>
              </w:rPr>
              <w:lastRenderedPageBreak/>
              <w:t>information see our response in Table 2 H10.</w:t>
            </w:r>
          </w:p>
          <w:p w:rsidR="00473A7B" w:rsidRPr="006D5D6F" w:rsidRDefault="00473A7B" w:rsidP="00EB27EF">
            <w:pPr>
              <w:jc w:val="both"/>
              <w:rPr>
                <w:rFonts w:ascii="Verdana" w:hAnsi="Verdana"/>
                <w:sz w:val="20"/>
                <w:szCs w:val="20"/>
              </w:rPr>
            </w:pPr>
            <w:r w:rsidRPr="006D5D6F">
              <w:rPr>
                <w:rFonts w:ascii="Verdana" w:hAnsi="Verdana"/>
                <w:sz w:val="20"/>
                <w:szCs w:val="20"/>
              </w:rPr>
              <w:t>The suggestion to model the estimated exposure after the restriction/remaining exposure from articles not in the scope is no longer relevant as we are not in favour of a restriction.</w:t>
            </w:r>
          </w:p>
          <w:p w:rsidR="00473A7B" w:rsidRPr="006D5D6F" w:rsidRDefault="00473A7B" w:rsidP="00EB27EF">
            <w:pPr>
              <w:jc w:val="both"/>
              <w:rPr>
                <w:rFonts w:ascii="Verdana" w:hAnsi="Verdana"/>
                <w:color w:val="000000"/>
                <w:sz w:val="20"/>
                <w:szCs w:val="20"/>
                <w:lang w:val="en-US" w:eastAsia="en-US"/>
              </w:rPr>
            </w:pPr>
            <w:r w:rsidRPr="006D5D6F">
              <w:rPr>
                <w:rFonts w:ascii="Verdana" w:hAnsi="Verdana"/>
                <w:sz w:val="20"/>
                <w:szCs w:val="20"/>
              </w:rPr>
              <w:t xml:space="preserve">This conclusion was reached on the basis of the </w:t>
            </w:r>
            <w:r w:rsidR="002E5029">
              <w:rPr>
                <w:rFonts w:ascii="Verdana" w:hAnsi="Verdana"/>
                <w:sz w:val="20"/>
                <w:szCs w:val="20"/>
              </w:rPr>
              <w:t>estimated risk for the current situation. P</w:t>
            </w:r>
            <w:r w:rsidRPr="006D5D6F">
              <w:rPr>
                <w:rFonts w:ascii="Verdana" w:hAnsi="Verdana"/>
                <w:sz w:val="20"/>
                <w:szCs w:val="20"/>
              </w:rPr>
              <w:t xml:space="preserve">rojected volumes in 2020 for the baseline which suggest a  decrease in volume of four phthalates on the EU market  by 69-85% as compared to the volume in 2007. </w:t>
            </w:r>
            <w:r w:rsidRPr="006D5D6F">
              <w:rPr>
                <w:rFonts w:ascii="Verdana" w:hAnsi="Verdana"/>
                <w:color w:val="000000"/>
                <w:sz w:val="20"/>
                <w:szCs w:val="20"/>
                <w:lang w:val="en-US" w:eastAsia="en-US"/>
              </w:rPr>
              <w:t xml:space="preserve">As a result of </w:t>
            </w:r>
            <w:r w:rsidR="002E5029">
              <w:rPr>
                <w:rFonts w:ascii="Verdana" w:hAnsi="Verdana"/>
                <w:color w:val="000000"/>
                <w:sz w:val="20"/>
                <w:szCs w:val="20"/>
                <w:lang w:val="en-US" w:eastAsia="en-US"/>
              </w:rPr>
              <w:t xml:space="preserve">the continuous substitution taking also the need for authorisation from 2015 into account </w:t>
            </w:r>
            <w:r w:rsidRPr="006D5D6F">
              <w:rPr>
                <w:rFonts w:ascii="Verdana" w:hAnsi="Verdana"/>
                <w:color w:val="000000"/>
                <w:sz w:val="20"/>
                <w:szCs w:val="20"/>
                <w:lang w:val="en-US" w:eastAsia="en-US"/>
              </w:rPr>
              <w:t>th</w:t>
            </w:r>
            <w:r w:rsidR="002E5029">
              <w:rPr>
                <w:rFonts w:ascii="Verdana" w:hAnsi="Verdana"/>
                <w:color w:val="000000"/>
                <w:sz w:val="20"/>
                <w:szCs w:val="20"/>
                <w:lang w:val="en-US" w:eastAsia="en-US"/>
              </w:rPr>
              <w:t xml:space="preserve">e </w:t>
            </w:r>
            <w:r w:rsidRPr="006D5D6F">
              <w:rPr>
                <w:rFonts w:ascii="Verdana" w:hAnsi="Verdana"/>
                <w:color w:val="000000"/>
                <w:sz w:val="20"/>
                <w:szCs w:val="20"/>
                <w:lang w:val="en-US" w:eastAsia="en-US"/>
              </w:rPr>
              <w:t xml:space="preserve">anticipated decrease in volume, the exposure to the four phthalates will </w:t>
            </w:r>
            <w:r w:rsidR="002E5029">
              <w:rPr>
                <w:rFonts w:ascii="Verdana" w:hAnsi="Verdana"/>
                <w:color w:val="000000"/>
                <w:sz w:val="20"/>
                <w:szCs w:val="20"/>
                <w:lang w:val="en-US" w:eastAsia="en-US"/>
              </w:rPr>
              <w:t xml:space="preserve">further </w:t>
            </w:r>
            <w:r w:rsidRPr="006D5D6F">
              <w:rPr>
                <w:rFonts w:ascii="Verdana" w:hAnsi="Verdana"/>
                <w:color w:val="000000"/>
                <w:sz w:val="20"/>
                <w:szCs w:val="20"/>
                <w:lang w:val="en-US" w:eastAsia="en-US"/>
              </w:rPr>
              <w:t xml:space="preserve">decrease. Following from </w:t>
            </w:r>
            <w:r w:rsidRPr="006D5D6F">
              <w:rPr>
                <w:rFonts w:ascii="Verdana" w:hAnsi="Verdana"/>
                <w:color w:val="000000"/>
                <w:sz w:val="20"/>
                <w:szCs w:val="20"/>
                <w:lang w:val="en-US" w:eastAsia="en-US"/>
              </w:rPr>
              <w:lastRenderedPageBreak/>
              <w:t xml:space="preserve">this it would seem that the effects of </w:t>
            </w:r>
            <w:r w:rsidR="002E5029">
              <w:rPr>
                <w:rFonts w:ascii="Verdana" w:hAnsi="Verdana"/>
                <w:color w:val="000000"/>
                <w:sz w:val="20"/>
                <w:szCs w:val="20"/>
                <w:lang w:val="en-US" w:eastAsia="en-US"/>
              </w:rPr>
              <w:t xml:space="preserve">ongoing </w:t>
            </w:r>
            <w:r w:rsidRPr="006D5D6F">
              <w:rPr>
                <w:rFonts w:ascii="Verdana" w:hAnsi="Verdana"/>
                <w:color w:val="000000"/>
                <w:sz w:val="20"/>
                <w:szCs w:val="20"/>
                <w:lang w:val="en-US" w:eastAsia="en-US"/>
              </w:rPr>
              <w:t>substitution, existing restriction</w:t>
            </w:r>
            <w:r w:rsidR="002E5029">
              <w:rPr>
                <w:rFonts w:ascii="Verdana" w:hAnsi="Verdana"/>
                <w:color w:val="000000"/>
                <w:sz w:val="20"/>
                <w:szCs w:val="20"/>
                <w:lang w:val="en-US" w:eastAsia="en-US"/>
              </w:rPr>
              <w:t xml:space="preserve"> are </w:t>
            </w:r>
            <w:r w:rsidRPr="006D5D6F">
              <w:rPr>
                <w:rFonts w:ascii="Verdana" w:hAnsi="Verdana"/>
                <w:color w:val="000000"/>
                <w:sz w:val="20"/>
                <w:szCs w:val="20"/>
                <w:lang w:val="en-US" w:eastAsia="en-US"/>
              </w:rPr>
              <w:t xml:space="preserve">already capable of </w:t>
            </w:r>
            <w:r w:rsidR="002E5029">
              <w:rPr>
                <w:rFonts w:ascii="Verdana" w:hAnsi="Verdana"/>
                <w:color w:val="000000"/>
                <w:sz w:val="20"/>
                <w:szCs w:val="20"/>
                <w:lang w:val="en-US" w:eastAsia="en-US"/>
              </w:rPr>
              <w:t>limit</w:t>
            </w:r>
            <w:r w:rsidR="002E5029" w:rsidRPr="006D5D6F">
              <w:rPr>
                <w:rFonts w:ascii="Verdana" w:hAnsi="Verdana"/>
                <w:color w:val="000000"/>
                <w:sz w:val="20"/>
                <w:szCs w:val="20"/>
                <w:lang w:val="en-US" w:eastAsia="en-US"/>
              </w:rPr>
              <w:t xml:space="preserve"> </w:t>
            </w:r>
            <w:r w:rsidRPr="006D5D6F">
              <w:rPr>
                <w:rFonts w:ascii="Verdana" w:hAnsi="Verdana"/>
                <w:color w:val="000000"/>
                <w:sz w:val="20"/>
                <w:szCs w:val="20"/>
                <w:lang w:val="en-US" w:eastAsia="en-US"/>
              </w:rPr>
              <w:t xml:space="preserve">the risk, to an acceptable low level. </w:t>
            </w:r>
          </w:p>
        </w:tc>
      </w:tr>
      <w:tr w:rsidR="00473A7B" w:rsidRPr="006D5D6F" w:rsidTr="00EB27EF">
        <w:tc>
          <w:tcPr>
            <w:tcW w:w="235" w:type="pct"/>
            <w:vMerge/>
          </w:tcPr>
          <w:p w:rsidR="00473A7B" w:rsidRPr="006D5D6F" w:rsidRDefault="00473A7B" w:rsidP="00EB27EF">
            <w:pPr>
              <w:jc w:val="center"/>
              <w:rPr>
                <w:rFonts w:ascii="Verdana" w:hAnsi="Verdana"/>
                <w:b/>
                <w:noProof/>
                <w:sz w:val="20"/>
                <w:szCs w:val="20"/>
              </w:rPr>
            </w:pPr>
          </w:p>
        </w:tc>
        <w:tc>
          <w:tcPr>
            <w:tcW w:w="1060" w:type="pct"/>
            <w:vMerge/>
          </w:tcPr>
          <w:p w:rsidR="00473A7B" w:rsidRPr="006D5D6F" w:rsidRDefault="00473A7B" w:rsidP="00EB27EF">
            <w:pPr>
              <w:jc w:val="both"/>
              <w:rPr>
                <w:rFonts w:ascii="Verdana" w:hAnsi="Verdana"/>
                <w:noProof/>
                <w:sz w:val="20"/>
                <w:szCs w:val="20"/>
              </w:rPr>
            </w:pPr>
          </w:p>
        </w:tc>
        <w:tc>
          <w:tcPr>
            <w:tcW w:w="1658" w:type="pct"/>
            <w:gridSpan w:val="2"/>
            <w:vMerge w:val="restart"/>
          </w:tcPr>
          <w:p w:rsidR="00473A7B" w:rsidRPr="006D5D6F" w:rsidRDefault="00473A7B" w:rsidP="00EB27EF">
            <w:pPr>
              <w:jc w:val="both"/>
              <w:rPr>
                <w:rFonts w:ascii="Verdana" w:hAnsi="Verdana"/>
                <w:noProof/>
                <w:sz w:val="20"/>
                <w:szCs w:val="20"/>
              </w:rPr>
            </w:pPr>
            <w:r w:rsidRPr="006D5D6F">
              <w:rPr>
                <w:rFonts w:ascii="Verdana" w:hAnsi="Verdana"/>
                <w:noProof/>
                <w:sz w:val="20"/>
                <w:szCs w:val="20"/>
              </w:rPr>
              <w:t xml:space="preserve">The justification of the proposal would in our view gain from more biomonitoring data. There are some ongoing projects regarding biomonitoring of phthalates, e.g. EU project DEMOCOPHES which will produce new data during summer 2012 on the present baseline levels of phthalates in the gen-eral population in </w:t>
            </w:r>
            <w:smartTag w:uri="urn:schemas-microsoft-com:office:smarttags" w:element="place">
              <w:r w:rsidRPr="006D5D6F">
                <w:rPr>
                  <w:rFonts w:ascii="Verdana" w:hAnsi="Verdana"/>
                  <w:noProof/>
                  <w:sz w:val="20"/>
                  <w:szCs w:val="20"/>
                </w:rPr>
                <w:t>Europe</w:t>
              </w:r>
            </w:smartTag>
            <w:r w:rsidRPr="006D5D6F">
              <w:rPr>
                <w:rFonts w:ascii="Verdana" w:hAnsi="Verdana"/>
                <w:noProof/>
                <w:sz w:val="20"/>
                <w:szCs w:val="20"/>
              </w:rPr>
              <w:t xml:space="preserve"> based on mother-child pairs. Biomonitoring data on situations described in exposure scenarios (eg. mouthing erasers and/or wearing sandals), if possible, would be useful for comparison of the real exposure and exposure estimates. Moreover, braces and other dental devices that are placed in the mouth can contain significant amounts of phthalates. Even though these medical devices are not in the scope of the restriction, it would be informative to have biomonitoring data on patients using these dental devices compared to the general public, or if not possible, at least modeling the exposure from dental devises for comparison. This kind of information on biomonitoring would help to estimate the </w:t>
            </w:r>
            <w:r w:rsidRPr="006D5D6F">
              <w:rPr>
                <w:rFonts w:ascii="Verdana" w:hAnsi="Verdana"/>
                <w:noProof/>
                <w:sz w:val="20"/>
                <w:szCs w:val="20"/>
              </w:rPr>
              <w:lastRenderedPageBreak/>
              <w:t>impact of the proposed restriction to human health.</w:t>
            </w:r>
          </w:p>
        </w:tc>
        <w:tc>
          <w:tcPr>
            <w:tcW w:w="1047" w:type="pct"/>
          </w:tcPr>
          <w:p w:rsidR="00473A7B" w:rsidRPr="006D5D6F" w:rsidRDefault="00473A7B" w:rsidP="00EB27EF">
            <w:pPr>
              <w:jc w:val="both"/>
              <w:rPr>
                <w:rFonts w:ascii="Verdana" w:hAnsi="Verdana"/>
                <w:sz w:val="20"/>
                <w:szCs w:val="20"/>
              </w:rPr>
            </w:pPr>
            <w:r w:rsidRPr="006D5D6F">
              <w:rPr>
                <w:rFonts w:ascii="Verdana" w:hAnsi="Verdana"/>
                <w:sz w:val="20"/>
                <w:szCs w:val="20"/>
              </w:rPr>
              <w:lastRenderedPageBreak/>
              <w:t xml:space="preserve">We agree, but there are no data available for the time being - and we are of the opinion that human experiments are not considered appropriate. </w:t>
            </w:r>
          </w:p>
          <w:p w:rsidR="00473A7B" w:rsidRPr="006D5D6F" w:rsidRDefault="00473A7B" w:rsidP="00EB27EF">
            <w:pPr>
              <w:jc w:val="both"/>
              <w:rPr>
                <w:rFonts w:ascii="Verdana" w:hAnsi="Verdana"/>
                <w:sz w:val="20"/>
                <w:szCs w:val="20"/>
              </w:rPr>
            </w:pPr>
          </w:p>
          <w:p w:rsidR="00473A7B" w:rsidRPr="006D5D6F" w:rsidRDefault="00473A7B" w:rsidP="00EB27EF">
            <w:pPr>
              <w:jc w:val="both"/>
              <w:rPr>
                <w:rFonts w:ascii="Verdana" w:hAnsi="Verdana"/>
                <w:b/>
                <w:sz w:val="20"/>
                <w:szCs w:val="20"/>
              </w:rPr>
            </w:pPr>
            <w:r w:rsidRPr="006D5D6F">
              <w:rPr>
                <w:rFonts w:ascii="Verdana" w:hAnsi="Verdana"/>
                <w:sz w:val="20"/>
                <w:szCs w:val="20"/>
              </w:rPr>
              <w:t xml:space="preserve">Regarding dental devices we agree but data are not published as far as we know. </w:t>
            </w:r>
          </w:p>
        </w:tc>
        <w:tc>
          <w:tcPr>
            <w:tcW w:w="1000" w:type="pct"/>
          </w:tcPr>
          <w:p w:rsidR="00473A7B" w:rsidRPr="006D5D6F" w:rsidRDefault="00473A7B" w:rsidP="00EB27EF">
            <w:pPr>
              <w:jc w:val="both"/>
              <w:rPr>
                <w:rFonts w:ascii="Verdana" w:hAnsi="Verdana"/>
                <w:b/>
                <w:sz w:val="20"/>
                <w:szCs w:val="20"/>
              </w:rPr>
            </w:pPr>
            <w:r w:rsidRPr="006D5D6F">
              <w:rPr>
                <w:rFonts w:ascii="Verdana" w:hAnsi="Verdana"/>
                <w:b/>
                <w:sz w:val="20"/>
                <w:szCs w:val="20"/>
              </w:rPr>
              <w:t>RAC</w:t>
            </w:r>
            <w:r w:rsidRPr="006D5D6F">
              <w:rPr>
                <w:rFonts w:ascii="Verdana" w:hAnsi="Verdana"/>
                <w:sz w:val="20"/>
                <w:szCs w:val="20"/>
              </w:rPr>
              <w:t xml:space="preserve">: </w:t>
            </w:r>
            <w:r w:rsidR="00C26B78">
              <w:rPr>
                <w:rFonts w:ascii="Verdana" w:hAnsi="Verdana"/>
                <w:sz w:val="20"/>
                <w:szCs w:val="20"/>
              </w:rPr>
              <w:t xml:space="preserve">RAC is aware of the ongoing projects, however none of the projects could be considered as results are not yet available. </w:t>
            </w:r>
          </w:p>
        </w:tc>
      </w:tr>
      <w:tr w:rsidR="00473A7B" w:rsidRPr="006D5D6F" w:rsidTr="00EB27EF">
        <w:tc>
          <w:tcPr>
            <w:tcW w:w="235" w:type="pct"/>
            <w:vMerge/>
          </w:tcPr>
          <w:p w:rsidR="00473A7B" w:rsidRPr="006D5D6F" w:rsidRDefault="00473A7B" w:rsidP="00EB27EF">
            <w:pPr>
              <w:jc w:val="center"/>
              <w:rPr>
                <w:rFonts w:ascii="Verdana" w:hAnsi="Verdana"/>
                <w:b/>
                <w:noProof/>
                <w:sz w:val="20"/>
                <w:szCs w:val="20"/>
              </w:rPr>
            </w:pPr>
          </w:p>
        </w:tc>
        <w:tc>
          <w:tcPr>
            <w:tcW w:w="1060" w:type="pct"/>
            <w:vMerge/>
          </w:tcPr>
          <w:p w:rsidR="00473A7B" w:rsidRPr="006D5D6F" w:rsidRDefault="00473A7B" w:rsidP="00EB27EF">
            <w:pPr>
              <w:jc w:val="both"/>
              <w:rPr>
                <w:rFonts w:ascii="Verdana" w:hAnsi="Verdana"/>
                <w:noProof/>
                <w:sz w:val="20"/>
                <w:szCs w:val="20"/>
              </w:rPr>
            </w:pPr>
          </w:p>
        </w:tc>
        <w:tc>
          <w:tcPr>
            <w:tcW w:w="1658" w:type="pct"/>
            <w:gridSpan w:val="2"/>
            <w:vMerge/>
          </w:tcPr>
          <w:p w:rsidR="00473A7B" w:rsidRPr="006D5D6F" w:rsidRDefault="00473A7B" w:rsidP="00EB27EF">
            <w:pPr>
              <w:jc w:val="both"/>
              <w:rPr>
                <w:rFonts w:ascii="Verdana" w:hAnsi="Verdana"/>
                <w:noProof/>
                <w:sz w:val="20"/>
                <w:szCs w:val="20"/>
              </w:rPr>
            </w:pPr>
          </w:p>
        </w:tc>
        <w:tc>
          <w:tcPr>
            <w:tcW w:w="1047" w:type="pct"/>
          </w:tcPr>
          <w:p w:rsidR="00473A7B" w:rsidRPr="006D5D6F" w:rsidRDefault="00473A7B" w:rsidP="00EB27EF">
            <w:pPr>
              <w:jc w:val="both"/>
              <w:rPr>
                <w:rFonts w:ascii="Verdana" w:hAnsi="Verdana"/>
                <w:b/>
                <w:sz w:val="20"/>
                <w:szCs w:val="20"/>
              </w:rPr>
            </w:pPr>
          </w:p>
        </w:tc>
        <w:tc>
          <w:tcPr>
            <w:tcW w:w="1000" w:type="pct"/>
          </w:tcPr>
          <w:p w:rsidR="00473A7B" w:rsidRPr="006D5D6F" w:rsidRDefault="00473A7B" w:rsidP="00EB27EF">
            <w:pPr>
              <w:jc w:val="both"/>
              <w:rPr>
                <w:rFonts w:ascii="Verdana" w:hAnsi="Verdana"/>
                <w:b/>
                <w:sz w:val="20"/>
                <w:szCs w:val="20"/>
              </w:rPr>
            </w:pPr>
          </w:p>
        </w:tc>
      </w:tr>
      <w:tr w:rsidR="00473A7B" w:rsidRPr="006D5D6F" w:rsidTr="00EB27EF">
        <w:tc>
          <w:tcPr>
            <w:tcW w:w="235" w:type="pct"/>
            <w:vMerge/>
          </w:tcPr>
          <w:p w:rsidR="00473A7B" w:rsidRPr="006D5D6F" w:rsidRDefault="00473A7B" w:rsidP="00EB27EF">
            <w:pPr>
              <w:jc w:val="center"/>
              <w:rPr>
                <w:rFonts w:ascii="Verdana" w:hAnsi="Verdana"/>
                <w:b/>
                <w:noProof/>
                <w:sz w:val="20"/>
                <w:szCs w:val="20"/>
              </w:rPr>
            </w:pPr>
          </w:p>
        </w:tc>
        <w:tc>
          <w:tcPr>
            <w:tcW w:w="1060" w:type="pct"/>
            <w:vMerge/>
          </w:tcPr>
          <w:p w:rsidR="00473A7B" w:rsidRPr="006D5D6F" w:rsidRDefault="00473A7B" w:rsidP="00EB27EF">
            <w:pPr>
              <w:jc w:val="both"/>
              <w:rPr>
                <w:rFonts w:ascii="Verdana" w:hAnsi="Verdana"/>
                <w:noProof/>
                <w:sz w:val="20"/>
                <w:szCs w:val="20"/>
              </w:rPr>
            </w:pPr>
          </w:p>
        </w:tc>
        <w:tc>
          <w:tcPr>
            <w:tcW w:w="1658" w:type="pct"/>
            <w:gridSpan w:val="2"/>
          </w:tcPr>
          <w:p w:rsidR="00473A7B" w:rsidRPr="006D5D6F" w:rsidRDefault="00473A7B" w:rsidP="00EB27EF">
            <w:pPr>
              <w:jc w:val="both"/>
              <w:rPr>
                <w:rFonts w:ascii="Verdana" w:hAnsi="Verdana"/>
                <w:noProof/>
                <w:sz w:val="20"/>
                <w:szCs w:val="20"/>
              </w:rPr>
            </w:pPr>
            <w:r w:rsidRPr="006D5D6F">
              <w:rPr>
                <w:rFonts w:ascii="Verdana" w:hAnsi="Verdana"/>
                <w:noProof/>
                <w:sz w:val="20"/>
                <w:szCs w:val="20"/>
              </w:rPr>
              <w:t>Comment to the chapter ”Widespread use” on page 7. ECHA definition for wide-spread use is ”uses occurring at numerous locations, which do not result in significant release”, should be considered ”widespread” but not as ”wide-dispersive”. Therefore, it would seem more pertinent to head this paragraph as ”Wide-dispersive uses”, which refers to ”many small point sources or diffuse release by for instance the public at large or sources like traffic and can relate to both indoor and outdoor use&amp;quot.</w:t>
            </w:r>
          </w:p>
        </w:tc>
        <w:tc>
          <w:tcPr>
            <w:tcW w:w="1047" w:type="pct"/>
          </w:tcPr>
          <w:p w:rsidR="00473A7B" w:rsidRPr="006D5D6F" w:rsidRDefault="00473A7B" w:rsidP="00EB27EF">
            <w:pPr>
              <w:jc w:val="both"/>
              <w:rPr>
                <w:rFonts w:ascii="Verdana" w:hAnsi="Verdana"/>
                <w:sz w:val="20"/>
                <w:szCs w:val="20"/>
              </w:rPr>
            </w:pPr>
            <w:r w:rsidRPr="006D5D6F">
              <w:rPr>
                <w:rFonts w:ascii="Verdana" w:hAnsi="Verdana"/>
                <w:sz w:val="20"/>
                <w:szCs w:val="20"/>
              </w:rPr>
              <w:t xml:space="preserve">Editorial comment that do not change the conclusion - </w:t>
            </w:r>
            <w:r w:rsidRPr="009C3700">
              <w:rPr>
                <w:rFonts w:ascii="Verdana" w:hAnsi="Verdana"/>
                <w:sz w:val="20"/>
                <w:szCs w:val="20"/>
              </w:rPr>
              <w:t>has been done.</w:t>
            </w:r>
            <w:r w:rsidRPr="006D5D6F">
              <w:rPr>
                <w:rFonts w:ascii="Verdana" w:hAnsi="Verdana"/>
                <w:sz w:val="20"/>
                <w:szCs w:val="20"/>
              </w:rPr>
              <w:t xml:space="preserve"> </w:t>
            </w:r>
          </w:p>
        </w:tc>
        <w:tc>
          <w:tcPr>
            <w:tcW w:w="1000" w:type="pct"/>
          </w:tcPr>
          <w:p w:rsidR="00473A7B" w:rsidRPr="006D5D6F" w:rsidRDefault="00473A7B" w:rsidP="00EB27EF">
            <w:pPr>
              <w:jc w:val="both"/>
              <w:rPr>
                <w:rFonts w:ascii="Verdana" w:hAnsi="Verdana"/>
                <w:b/>
                <w:sz w:val="20"/>
                <w:szCs w:val="20"/>
              </w:rPr>
            </w:pPr>
            <w:r w:rsidRPr="006D5D6F">
              <w:rPr>
                <w:rFonts w:ascii="Verdana" w:hAnsi="Verdana"/>
                <w:b/>
                <w:sz w:val="20"/>
                <w:szCs w:val="20"/>
              </w:rPr>
              <w:t xml:space="preserve">RAC: </w:t>
            </w:r>
            <w:r w:rsidRPr="006D5D6F">
              <w:rPr>
                <w:rFonts w:ascii="Verdana" w:hAnsi="Verdana"/>
                <w:sz w:val="20"/>
                <w:szCs w:val="20"/>
              </w:rPr>
              <w:t>No further comment</w:t>
            </w:r>
            <w:r w:rsidRPr="006D5D6F">
              <w:rPr>
                <w:rFonts w:ascii="Verdana" w:hAnsi="Verdana"/>
                <w:b/>
                <w:sz w:val="20"/>
                <w:szCs w:val="20"/>
              </w:rPr>
              <w:t>.</w:t>
            </w:r>
          </w:p>
        </w:tc>
      </w:tr>
      <w:tr w:rsidR="00473A7B" w:rsidRPr="006D5D6F" w:rsidTr="00EB27EF">
        <w:trPr>
          <w:trHeight w:val="659"/>
        </w:trPr>
        <w:tc>
          <w:tcPr>
            <w:tcW w:w="235" w:type="pct"/>
            <w:vMerge/>
          </w:tcPr>
          <w:p w:rsidR="00473A7B" w:rsidRPr="006D5D6F" w:rsidRDefault="00473A7B" w:rsidP="00EB27EF">
            <w:pPr>
              <w:jc w:val="center"/>
              <w:rPr>
                <w:rFonts w:ascii="Verdana" w:hAnsi="Verdana"/>
                <w:b/>
                <w:noProof/>
                <w:sz w:val="20"/>
                <w:szCs w:val="20"/>
              </w:rPr>
            </w:pPr>
          </w:p>
        </w:tc>
        <w:tc>
          <w:tcPr>
            <w:tcW w:w="1060" w:type="pct"/>
            <w:vMerge/>
          </w:tcPr>
          <w:p w:rsidR="00473A7B" w:rsidRPr="006D5D6F" w:rsidRDefault="00473A7B" w:rsidP="00EB27EF">
            <w:pPr>
              <w:jc w:val="both"/>
              <w:rPr>
                <w:rFonts w:ascii="Verdana" w:hAnsi="Verdana"/>
                <w:noProof/>
                <w:sz w:val="20"/>
                <w:szCs w:val="20"/>
              </w:rPr>
            </w:pPr>
          </w:p>
        </w:tc>
        <w:tc>
          <w:tcPr>
            <w:tcW w:w="1658" w:type="pct"/>
            <w:gridSpan w:val="2"/>
          </w:tcPr>
          <w:p w:rsidR="00473A7B" w:rsidRPr="006D5D6F" w:rsidRDefault="00473A7B" w:rsidP="00EB27EF">
            <w:pPr>
              <w:jc w:val="both"/>
              <w:rPr>
                <w:rFonts w:ascii="Verdana" w:hAnsi="Verdana"/>
                <w:noProof/>
                <w:sz w:val="20"/>
                <w:szCs w:val="20"/>
              </w:rPr>
            </w:pPr>
            <w:r w:rsidRPr="006D5D6F">
              <w:rPr>
                <w:rFonts w:ascii="Verdana" w:hAnsi="Verdana"/>
                <w:noProof/>
                <w:sz w:val="20"/>
                <w:szCs w:val="20"/>
              </w:rPr>
              <w:t>The remaining comments are addressed in Table II H 05 and 10.</w:t>
            </w:r>
          </w:p>
        </w:tc>
        <w:tc>
          <w:tcPr>
            <w:tcW w:w="1047" w:type="pct"/>
          </w:tcPr>
          <w:p w:rsidR="00473A7B" w:rsidRPr="006D5D6F" w:rsidRDefault="00473A7B" w:rsidP="00EB27EF">
            <w:pPr>
              <w:jc w:val="both"/>
              <w:rPr>
                <w:rFonts w:ascii="Verdana" w:hAnsi="Verdana"/>
                <w:b/>
                <w:sz w:val="20"/>
                <w:szCs w:val="20"/>
              </w:rPr>
            </w:pPr>
          </w:p>
        </w:tc>
        <w:tc>
          <w:tcPr>
            <w:tcW w:w="1000" w:type="pct"/>
          </w:tcPr>
          <w:p w:rsidR="00473A7B" w:rsidRPr="006D5D6F" w:rsidRDefault="00473A7B" w:rsidP="00EB27EF">
            <w:pPr>
              <w:jc w:val="both"/>
              <w:rPr>
                <w:rFonts w:ascii="Verdana" w:hAnsi="Verdana"/>
                <w:b/>
                <w:sz w:val="20"/>
                <w:szCs w:val="20"/>
              </w:rPr>
            </w:pPr>
          </w:p>
        </w:tc>
      </w:tr>
      <w:tr w:rsidR="00473A7B" w:rsidRPr="006D5D6F" w:rsidTr="00EB27EF">
        <w:trPr>
          <w:trHeight w:val="2530"/>
        </w:trPr>
        <w:tc>
          <w:tcPr>
            <w:tcW w:w="235" w:type="pct"/>
            <w:vMerge w:val="restart"/>
          </w:tcPr>
          <w:p w:rsidR="00473A7B" w:rsidRPr="006D5D6F" w:rsidRDefault="00473A7B" w:rsidP="00EB27EF">
            <w:pPr>
              <w:jc w:val="center"/>
              <w:rPr>
                <w:rFonts w:ascii="Verdana" w:hAnsi="Verdana"/>
                <w:b/>
                <w:sz w:val="20"/>
                <w:szCs w:val="20"/>
              </w:rPr>
            </w:pPr>
            <w:r w:rsidRPr="006D5D6F">
              <w:rPr>
                <w:rFonts w:ascii="Verdana" w:hAnsi="Verdana"/>
                <w:b/>
                <w:noProof/>
                <w:sz w:val="20"/>
                <w:szCs w:val="20"/>
              </w:rPr>
              <w:t>164</w:t>
            </w:r>
          </w:p>
        </w:tc>
        <w:tc>
          <w:tcPr>
            <w:tcW w:w="1060" w:type="pct"/>
            <w:vMerge w:val="restart"/>
          </w:tcPr>
          <w:p w:rsidR="00473A7B" w:rsidRPr="006D5D6F" w:rsidRDefault="00473A7B" w:rsidP="00EB27EF">
            <w:pPr>
              <w:jc w:val="both"/>
              <w:rPr>
                <w:rFonts w:ascii="Verdana" w:hAnsi="Verdana"/>
                <w:sz w:val="20"/>
                <w:szCs w:val="20"/>
                <w:lang w:val="fr-FR"/>
              </w:rPr>
            </w:pPr>
            <w:r w:rsidRPr="006D5D6F">
              <w:rPr>
                <w:rFonts w:ascii="Verdana" w:hAnsi="Verdana"/>
                <w:noProof/>
                <w:sz w:val="20"/>
                <w:szCs w:val="20"/>
                <w:lang w:val="fr-FR"/>
              </w:rPr>
              <w:t>Belgium</w:t>
            </w:r>
            <w:r w:rsidRPr="006D5D6F">
              <w:rPr>
                <w:rFonts w:ascii="Verdana" w:hAnsi="Verdana"/>
                <w:sz w:val="20"/>
                <w:szCs w:val="20"/>
                <w:lang w:val="fr-FR"/>
              </w:rPr>
              <w:t xml:space="preserve"> / </w:t>
            </w:r>
            <w:r w:rsidRPr="006D5D6F">
              <w:rPr>
                <w:rFonts w:ascii="Verdana" w:hAnsi="Verdana"/>
                <w:noProof/>
                <w:sz w:val="20"/>
                <w:szCs w:val="20"/>
                <w:lang w:val="fr-FR"/>
              </w:rPr>
              <w:t>International NGO</w:t>
            </w:r>
            <w:r w:rsidRPr="006D5D6F">
              <w:rPr>
                <w:rFonts w:ascii="Verdana" w:hAnsi="Verdana"/>
                <w:sz w:val="20"/>
                <w:szCs w:val="20"/>
                <w:lang w:val="fr-FR"/>
              </w:rPr>
              <w:t xml:space="preserve"> / </w:t>
            </w:r>
            <w:r w:rsidRPr="006D5D6F">
              <w:rPr>
                <w:rFonts w:ascii="Verdana" w:hAnsi="Verdana"/>
                <w:noProof/>
                <w:sz w:val="20"/>
                <w:szCs w:val="20"/>
                <w:lang w:val="fr-FR"/>
              </w:rPr>
              <w:t>European Environmental Bureau</w:t>
            </w:r>
            <w:r w:rsidRPr="006D5D6F">
              <w:rPr>
                <w:rFonts w:ascii="Verdana" w:hAnsi="Verdana"/>
                <w:sz w:val="20"/>
                <w:szCs w:val="20"/>
                <w:lang w:val="fr-FR"/>
              </w:rPr>
              <w:t xml:space="preserve">  </w:t>
            </w:r>
          </w:p>
          <w:p w:rsidR="00473A7B" w:rsidRPr="006D5D6F" w:rsidRDefault="00473A7B" w:rsidP="00EB27EF">
            <w:pPr>
              <w:jc w:val="both"/>
              <w:rPr>
                <w:rFonts w:ascii="Verdana" w:hAnsi="Verdana"/>
                <w:sz w:val="20"/>
                <w:szCs w:val="20"/>
                <w:lang w:val="fr-FR"/>
              </w:rPr>
            </w:pPr>
          </w:p>
        </w:tc>
        <w:tc>
          <w:tcPr>
            <w:tcW w:w="1658" w:type="pct"/>
            <w:gridSpan w:val="2"/>
          </w:tcPr>
          <w:p w:rsidR="00473A7B" w:rsidRPr="006D5D6F" w:rsidRDefault="00473A7B" w:rsidP="00EB27EF">
            <w:pPr>
              <w:jc w:val="both"/>
              <w:rPr>
                <w:rFonts w:ascii="Verdana" w:hAnsi="Verdana"/>
                <w:noProof/>
                <w:sz w:val="20"/>
                <w:szCs w:val="20"/>
              </w:rPr>
            </w:pPr>
            <w:r w:rsidRPr="006D5D6F">
              <w:rPr>
                <w:rFonts w:ascii="Verdana" w:hAnsi="Verdana"/>
                <w:noProof/>
                <w:sz w:val="20"/>
                <w:szCs w:val="20"/>
              </w:rPr>
              <w:t>As a general point, we query why the fast track procedure of Article 68(2) has not been used in this case, given that the substances concerned are Reprotox Category 1B.  The decision not to use A68(2) seems inefficient and not in line with the intentions of REACH for that particular category of substances “in articles that could be used by consumers”. A great deal of the time and effort that has gone into preparation of the dossier and its evaluation by the Committees could have been avoided had Article 68(2) been applied.</w:t>
            </w:r>
          </w:p>
        </w:tc>
        <w:tc>
          <w:tcPr>
            <w:tcW w:w="1047" w:type="pct"/>
          </w:tcPr>
          <w:p w:rsidR="00473A7B" w:rsidRPr="006D5D6F" w:rsidRDefault="00473A7B" w:rsidP="00EB27EF">
            <w:pPr>
              <w:jc w:val="both"/>
              <w:rPr>
                <w:rFonts w:ascii="Verdana" w:hAnsi="Verdana"/>
                <w:sz w:val="20"/>
                <w:szCs w:val="20"/>
              </w:rPr>
            </w:pPr>
            <w:r w:rsidRPr="006D5D6F">
              <w:rPr>
                <w:rFonts w:ascii="Verdana" w:hAnsi="Verdana"/>
                <w:sz w:val="20"/>
                <w:szCs w:val="20"/>
              </w:rPr>
              <w:t>The dossier is based on the combined effects of the four phthalates and since this is the first time that such an approach is used a discussion in the appropriate scientific bodies is good.</w:t>
            </w:r>
          </w:p>
          <w:p w:rsidR="00473A7B" w:rsidRPr="006D5D6F" w:rsidRDefault="00473A7B" w:rsidP="00EB27EF">
            <w:pPr>
              <w:jc w:val="both"/>
              <w:rPr>
                <w:rFonts w:ascii="Verdana" w:hAnsi="Verdana"/>
                <w:b/>
                <w:sz w:val="20"/>
                <w:szCs w:val="20"/>
              </w:rPr>
            </w:pPr>
          </w:p>
          <w:p w:rsidR="00473A7B" w:rsidRPr="006D5D6F" w:rsidRDefault="00473A7B" w:rsidP="00EB27EF">
            <w:pPr>
              <w:jc w:val="both"/>
              <w:rPr>
                <w:rFonts w:ascii="Verdana" w:hAnsi="Verdana"/>
                <w:b/>
                <w:sz w:val="20"/>
                <w:szCs w:val="20"/>
              </w:rPr>
            </w:pPr>
          </w:p>
        </w:tc>
        <w:tc>
          <w:tcPr>
            <w:tcW w:w="1000" w:type="pct"/>
          </w:tcPr>
          <w:p w:rsidR="00473A7B" w:rsidRPr="006D5D6F" w:rsidRDefault="00473A7B" w:rsidP="00C94935">
            <w:pPr>
              <w:jc w:val="both"/>
              <w:rPr>
                <w:rFonts w:ascii="Verdana" w:hAnsi="Verdana"/>
                <w:sz w:val="20"/>
                <w:szCs w:val="20"/>
              </w:rPr>
            </w:pPr>
            <w:r w:rsidRPr="006D5D6F">
              <w:rPr>
                <w:rFonts w:ascii="Verdana" w:hAnsi="Verdana"/>
                <w:b/>
                <w:sz w:val="20"/>
                <w:szCs w:val="20"/>
              </w:rPr>
              <w:t>RAC and SEAC:</w:t>
            </w:r>
            <w:r w:rsidRPr="006D5D6F">
              <w:rPr>
                <w:rFonts w:ascii="Verdana" w:hAnsi="Verdana"/>
                <w:sz w:val="20"/>
                <w:szCs w:val="20"/>
              </w:rPr>
              <w:t xml:space="preserve"> </w:t>
            </w:r>
            <w:r w:rsidR="00C94935">
              <w:rPr>
                <w:rFonts w:ascii="Verdana" w:hAnsi="Verdana"/>
                <w:sz w:val="20"/>
                <w:szCs w:val="20"/>
              </w:rPr>
              <w:t>No further comment</w:t>
            </w:r>
            <w:r w:rsidRPr="006D5D6F">
              <w:rPr>
                <w:rFonts w:ascii="Verdana" w:hAnsi="Verdana"/>
                <w:sz w:val="20"/>
                <w:szCs w:val="20"/>
              </w:rPr>
              <w:t>.</w:t>
            </w:r>
          </w:p>
        </w:tc>
      </w:tr>
      <w:tr w:rsidR="00473A7B" w:rsidRPr="006D5D6F" w:rsidTr="00EB27EF">
        <w:trPr>
          <w:trHeight w:val="4290"/>
        </w:trPr>
        <w:tc>
          <w:tcPr>
            <w:tcW w:w="235" w:type="pct"/>
            <w:vMerge/>
          </w:tcPr>
          <w:p w:rsidR="00473A7B" w:rsidRPr="006D5D6F" w:rsidRDefault="00473A7B" w:rsidP="00EB27EF">
            <w:pPr>
              <w:jc w:val="center"/>
              <w:rPr>
                <w:rFonts w:ascii="Verdana" w:hAnsi="Verdana"/>
                <w:b/>
                <w:noProof/>
                <w:sz w:val="20"/>
                <w:szCs w:val="20"/>
              </w:rPr>
            </w:pPr>
          </w:p>
        </w:tc>
        <w:tc>
          <w:tcPr>
            <w:tcW w:w="1060" w:type="pct"/>
            <w:vMerge/>
          </w:tcPr>
          <w:p w:rsidR="00473A7B" w:rsidRPr="006D5D6F" w:rsidRDefault="00473A7B" w:rsidP="00EB27EF">
            <w:pPr>
              <w:jc w:val="both"/>
              <w:rPr>
                <w:rFonts w:ascii="Verdana" w:hAnsi="Verdana"/>
                <w:noProof/>
                <w:sz w:val="20"/>
                <w:szCs w:val="20"/>
              </w:rPr>
            </w:pPr>
          </w:p>
        </w:tc>
        <w:tc>
          <w:tcPr>
            <w:tcW w:w="1658" w:type="pct"/>
            <w:gridSpan w:val="2"/>
          </w:tcPr>
          <w:p w:rsidR="00473A7B" w:rsidRPr="006D5D6F" w:rsidRDefault="00473A7B" w:rsidP="00EB27EF">
            <w:pPr>
              <w:jc w:val="both"/>
              <w:rPr>
                <w:rFonts w:ascii="Verdana" w:hAnsi="Verdana"/>
                <w:noProof/>
                <w:sz w:val="20"/>
                <w:szCs w:val="20"/>
              </w:rPr>
            </w:pPr>
            <w:r w:rsidRPr="006D5D6F">
              <w:rPr>
                <w:rFonts w:ascii="Verdana" w:hAnsi="Verdana"/>
                <w:noProof/>
                <w:sz w:val="20"/>
                <w:szCs w:val="20"/>
              </w:rPr>
              <w:t>EEB would in this respect like to stress as a general point that a Socio-economic assessment is NOT mandatory in order to assess the validity and completeness of the restriction proposal.  According to Section 3 of Annex XV on SEA, the “socio-economic impacts of the proposed restriction MAY be analysed with reference to Annex XVI”.[ own emphasis added]. Annex VI on SEA also specifies that “This Annex outlines the information that MAY be addressed […] in connection with a proposed restriction […] [own emphasis added].  However we find the information generation exercise useful, in particular to provide useful supporting elements for those parties that see potential concerns in terms of negative (economic) impacts in regards to the restriction.  EEB’s contribution should be seen as a response to addressing some of these perceived concerns.</w:t>
            </w:r>
          </w:p>
        </w:tc>
        <w:tc>
          <w:tcPr>
            <w:tcW w:w="1047" w:type="pct"/>
          </w:tcPr>
          <w:p w:rsidR="00473A7B" w:rsidRPr="006D5D6F" w:rsidRDefault="00473A7B" w:rsidP="00EB27EF">
            <w:pPr>
              <w:jc w:val="both"/>
              <w:rPr>
                <w:rFonts w:ascii="Verdana" w:hAnsi="Verdana"/>
                <w:sz w:val="20"/>
                <w:szCs w:val="20"/>
              </w:rPr>
            </w:pPr>
            <w:r w:rsidRPr="006D5D6F">
              <w:rPr>
                <w:rFonts w:ascii="Verdana" w:hAnsi="Verdana"/>
                <w:sz w:val="20"/>
                <w:szCs w:val="20"/>
              </w:rPr>
              <w:t>We agree.</w:t>
            </w:r>
          </w:p>
          <w:p w:rsidR="00473A7B" w:rsidRPr="006D5D6F" w:rsidRDefault="00473A7B" w:rsidP="00EB27EF">
            <w:pPr>
              <w:jc w:val="both"/>
              <w:rPr>
                <w:rFonts w:ascii="Verdana" w:hAnsi="Verdana"/>
                <w:sz w:val="20"/>
                <w:szCs w:val="20"/>
              </w:rPr>
            </w:pPr>
          </w:p>
        </w:tc>
        <w:tc>
          <w:tcPr>
            <w:tcW w:w="1000" w:type="pct"/>
          </w:tcPr>
          <w:p w:rsidR="00473A7B" w:rsidRPr="006D5D6F" w:rsidRDefault="00473A7B" w:rsidP="00EB27EF">
            <w:pPr>
              <w:jc w:val="both"/>
              <w:rPr>
                <w:rFonts w:ascii="Verdana" w:hAnsi="Verdana"/>
                <w:b/>
                <w:sz w:val="20"/>
                <w:szCs w:val="20"/>
              </w:rPr>
            </w:pPr>
            <w:r w:rsidRPr="006D5D6F">
              <w:rPr>
                <w:rFonts w:ascii="Verdana" w:hAnsi="Verdana"/>
                <w:b/>
                <w:sz w:val="20"/>
                <w:szCs w:val="20"/>
              </w:rPr>
              <w:t xml:space="preserve">SEAC: </w:t>
            </w:r>
            <w:r w:rsidRPr="006D5D6F">
              <w:rPr>
                <w:rFonts w:ascii="Verdana" w:hAnsi="Verdana"/>
                <w:sz w:val="20"/>
                <w:szCs w:val="20"/>
              </w:rPr>
              <w:t xml:space="preserve">We fully agree and thank </w:t>
            </w:r>
            <w:r w:rsidR="008A0BBA">
              <w:rPr>
                <w:rFonts w:ascii="Verdana" w:hAnsi="Verdana"/>
                <w:sz w:val="20"/>
                <w:szCs w:val="20"/>
              </w:rPr>
              <w:t xml:space="preserve">you </w:t>
            </w:r>
            <w:r w:rsidRPr="006D5D6F">
              <w:rPr>
                <w:rFonts w:ascii="Verdana" w:hAnsi="Verdana"/>
                <w:sz w:val="20"/>
                <w:szCs w:val="20"/>
              </w:rPr>
              <w:t>for the submitted information which has been taken into consideration. Please see further table H11.</w:t>
            </w:r>
          </w:p>
        </w:tc>
      </w:tr>
      <w:tr w:rsidR="00473A7B" w:rsidRPr="006D5D6F" w:rsidTr="00EB27EF">
        <w:trPr>
          <w:trHeight w:val="407"/>
        </w:trPr>
        <w:tc>
          <w:tcPr>
            <w:tcW w:w="235" w:type="pct"/>
            <w:vMerge/>
          </w:tcPr>
          <w:p w:rsidR="00473A7B" w:rsidRPr="006D5D6F" w:rsidRDefault="00473A7B" w:rsidP="00EB27EF">
            <w:pPr>
              <w:jc w:val="center"/>
              <w:rPr>
                <w:rFonts w:ascii="Verdana" w:hAnsi="Verdana"/>
                <w:b/>
                <w:noProof/>
                <w:sz w:val="20"/>
                <w:szCs w:val="20"/>
              </w:rPr>
            </w:pPr>
          </w:p>
        </w:tc>
        <w:tc>
          <w:tcPr>
            <w:tcW w:w="1060" w:type="pct"/>
            <w:vMerge/>
          </w:tcPr>
          <w:p w:rsidR="00473A7B" w:rsidRPr="006D5D6F" w:rsidRDefault="00473A7B" w:rsidP="00EB27EF">
            <w:pPr>
              <w:jc w:val="both"/>
              <w:rPr>
                <w:rFonts w:ascii="Verdana" w:hAnsi="Verdana"/>
                <w:noProof/>
                <w:sz w:val="20"/>
                <w:szCs w:val="20"/>
              </w:rPr>
            </w:pPr>
          </w:p>
        </w:tc>
        <w:tc>
          <w:tcPr>
            <w:tcW w:w="3705" w:type="pct"/>
            <w:gridSpan w:val="4"/>
          </w:tcPr>
          <w:p w:rsidR="00473A7B" w:rsidRPr="006D5D6F" w:rsidRDefault="00473A7B" w:rsidP="00EB27EF">
            <w:pPr>
              <w:jc w:val="both"/>
              <w:rPr>
                <w:rFonts w:ascii="Verdana" w:hAnsi="Verdana"/>
                <w:noProof/>
                <w:sz w:val="20"/>
                <w:szCs w:val="20"/>
              </w:rPr>
            </w:pPr>
            <w:r w:rsidRPr="006D5D6F">
              <w:rPr>
                <w:rFonts w:ascii="Verdana" w:hAnsi="Verdana"/>
                <w:noProof/>
                <w:sz w:val="20"/>
                <w:szCs w:val="20"/>
              </w:rPr>
              <w:t>Remaining comments are addressed in Table II, H 07; 09 and 11.</w:t>
            </w:r>
          </w:p>
        </w:tc>
      </w:tr>
      <w:tr w:rsidR="00473A7B" w:rsidRPr="006D5D6F" w:rsidTr="00EB27EF">
        <w:trPr>
          <w:trHeight w:val="1775"/>
        </w:trPr>
        <w:tc>
          <w:tcPr>
            <w:tcW w:w="235" w:type="pct"/>
            <w:vMerge w:val="restart"/>
          </w:tcPr>
          <w:p w:rsidR="00473A7B" w:rsidRPr="006D5D6F" w:rsidRDefault="00473A7B" w:rsidP="00EB27EF">
            <w:pPr>
              <w:jc w:val="center"/>
              <w:rPr>
                <w:rFonts w:ascii="Verdana" w:hAnsi="Verdana"/>
                <w:b/>
                <w:sz w:val="20"/>
                <w:szCs w:val="20"/>
              </w:rPr>
            </w:pPr>
            <w:r w:rsidRPr="006D5D6F">
              <w:rPr>
                <w:rFonts w:ascii="Verdana" w:hAnsi="Verdana"/>
                <w:b/>
                <w:noProof/>
                <w:sz w:val="20"/>
                <w:szCs w:val="20"/>
              </w:rPr>
              <w:t>161</w:t>
            </w:r>
          </w:p>
        </w:tc>
        <w:tc>
          <w:tcPr>
            <w:tcW w:w="1060" w:type="pct"/>
            <w:vMerge w:val="restart"/>
          </w:tcPr>
          <w:p w:rsidR="00473A7B" w:rsidRPr="006D5D6F" w:rsidRDefault="00473A7B" w:rsidP="00EB27EF">
            <w:pPr>
              <w:jc w:val="both"/>
              <w:rPr>
                <w:rFonts w:ascii="Verdana" w:hAnsi="Verdana"/>
                <w:sz w:val="20"/>
                <w:szCs w:val="20"/>
              </w:rPr>
            </w:pPr>
            <w:smartTag w:uri="urn:schemas-microsoft-com:office:smarttags" w:element="country-region">
              <w:smartTag w:uri="urn:schemas-microsoft-com:office:smarttags" w:element="place">
                <w:r w:rsidRPr="006D5D6F">
                  <w:rPr>
                    <w:rFonts w:ascii="Verdana" w:hAnsi="Verdana"/>
                    <w:noProof/>
                    <w:sz w:val="20"/>
                    <w:szCs w:val="20"/>
                  </w:rPr>
                  <w:t>Belgium</w:t>
                </w:r>
              </w:smartTag>
            </w:smartTag>
            <w:r w:rsidRPr="006D5D6F">
              <w:rPr>
                <w:rFonts w:ascii="Verdana" w:hAnsi="Verdana"/>
                <w:sz w:val="20"/>
                <w:szCs w:val="20"/>
              </w:rPr>
              <w:t xml:space="preserve"> / </w:t>
            </w:r>
            <w:r w:rsidRPr="006D5D6F">
              <w:rPr>
                <w:rFonts w:ascii="Verdana" w:hAnsi="Verdana"/>
                <w:noProof/>
                <w:sz w:val="20"/>
                <w:szCs w:val="20"/>
              </w:rPr>
              <w:t>Industry or trade association</w:t>
            </w:r>
            <w:r w:rsidRPr="006D5D6F">
              <w:rPr>
                <w:rFonts w:ascii="Verdana" w:hAnsi="Verdana"/>
                <w:sz w:val="20"/>
                <w:szCs w:val="20"/>
              </w:rPr>
              <w:t xml:space="preserve"> / </w:t>
            </w:r>
            <w:r w:rsidRPr="006D5D6F">
              <w:rPr>
                <w:rFonts w:ascii="Verdana" w:hAnsi="Verdana"/>
                <w:noProof/>
                <w:sz w:val="20"/>
                <w:szCs w:val="20"/>
              </w:rPr>
              <w:t>Test &amp; Measurement Coalition</w:t>
            </w:r>
          </w:p>
          <w:p w:rsidR="00473A7B" w:rsidRPr="006D5D6F" w:rsidRDefault="00473A7B" w:rsidP="00EB27EF">
            <w:pPr>
              <w:jc w:val="both"/>
              <w:rPr>
                <w:rFonts w:ascii="Verdana" w:hAnsi="Verdana"/>
                <w:sz w:val="20"/>
                <w:szCs w:val="20"/>
              </w:rPr>
            </w:pPr>
            <w:r w:rsidRPr="006D5D6F">
              <w:rPr>
                <w:rFonts w:ascii="Verdana" w:hAnsi="Verdana"/>
                <w:sz w:val="20"/>
                <w:szCs w:val="20"/>
              </w:rPr>
              <w:t xml:space="preserve"> </w:t>
            </w:r>
            <w:r w:rsidR="00990ADD" w:rsidRPr="006D5D6F">
              <w:rPr>
                <w:rFonts w:ascii="Verdana" w:hAnsi="Verdana"/>
                <w:noProof/>
                <w:sz w:val="20"/>
                <w:szCs w:val="20"/>
              </w:rPr>
              <w:object w:dxaOrig="1534" w:dyaOrig="993">
                <v:shape id="_x0000_i1026" type="#_x0000_t75" style="width:75.75pt;height:49.5pt" o:ole="">
                  <v:imagedata r:id="rId16" o:title=""/>
                </v:shape>
                <o:OLEObject Type="Embed" ProgID="Word.Document.8" ShapeID="_x0000_i1026" DrawAspect="Icon" ObjectID="_1594549402" r:id="rId17">
                  <o:FieldCodes>\s</o:FieldCodes>
                </o:OLEObject>
              </w:object>
            </w:r>
          </w:p>
        </w:tc>
        <w:tc>
          <w:tcPr>
            <w:tcW w:w="1658" w:type="pct"/>
            <w:gridSpan w:val="2"/>
          </w:tcPr>
          <w:p w:rsidR="00473A7B" w:rsidRPr="006D5D6F" w:rsidRDefault="00473A7B" w:rsidP="00EB27EF">
            <w:pPr>
              <w:jc w:val="both"/>
              <w:rPr>
                <w:rFonts w:ascii="Verdana" w:hAnsi="Verdana"/>
                <w:noProof/>
                <w:sz w:val="20"/>
                <w:szCs w:val="20"/>
              </w:rPr>
            </w:pPr>
            <w:r w:rsidRPr="006D5D6F">
              <w:rPr>
                <w:rFonts w:ascii="Verdana" w:hAnsi="Verdana"/>
                <w:noProof/>
                <w:sz w:val="20"/>
                <w:szCs w:val="20"/>
              </w:rPr>
              <w:t>Test and measurement equipment</w:t>
            </w:r>
          </w:p>
          <w:p w:rsidR="00473A7B" w:rsidRPr="006D5D6F" w:rsidRDefault="00473A7B" w:rsidP="00EB27EF">
            <w:pPr>
              <w:jc w:val="both"/>
              <w:rPr>
                <w:rFonts w:ascii="Verdana" w:hAnsi="Verdana"/>
                <w:noProof/>
                <w:sz w:val="20"/>
                <w:szCs w:val="20"/>
              </w:rPr>
            </w:pPr>
            <w:r w:rsidRPr="006D5D6F">
              <w:rPr>
                <w:rFonts w:ascii="Verdana" w:hAnsi="Verdana"/>
                <w:noProof/>
                <w:sz w:val="20"/>
                <w:szCs w:val="20"/>
              </w:rPr>
              <w:t>The proposed restrictions are not supported by an adequate risk assessment and, at least to the extent that they apply to phthalates-containing parts or components of test and measurement equipment and/or to the equipment itself, are disproportionate.</w:t>
            </w:r>
          </w:p>
        </w:tc>
        <w:tc>
          <w:tcPr>
            <w:tcW w:w="1047" w:type="pct"/>
          </w:tcPr>
          <w:p w:rsidR="00473A7B" w:rsidRPr="006D5D6F" w:rsidRDefault="00473A7B" w:rsidP="00EB27EF">
            <w:pPr>
              <w:jc w:val="both"/>
              <w:rPr>
                <w:rFonts w:ascii="Verdana" w:hAnsi="Verdana"/>
                <w:sz w:val="20"/>
                <w:szCs w:val="20"/>
              </w:rPr>
            </w:pPr>
            <w:r w:rsidRPr="006D5D6F">
              <w:rPr>
                <w:rFonts w:ascii="Verdana" w:hAnsi="Verdana"/>
                <w:sz w:val="20"/>
                <w:szCs w:val="20"/>
              </w:rPr>
              <w:t xml:space="preserve">It is the combined exposure from all articles that forms the basis for the proposal and therefore single uses should be seen in this context. However, other arguments have been raised for </w:t>
            </w:r>
            <w:r w:rsidRPr="006D5D6F">
              <w:rPr>
                <w:rFonts w:ascii="Verdana" w:hAnsi="Verdana"/>
                <w:sz w:val="20"/>
                <w:szCs w:val="20"/>
              </w:rPr>
              <w:lastRenderedPageBreak/>
              <w:t>exempting these articles from the restriction and this has been done.</w:t>
            </w:r>
          </w:p>
          <w:p w:rsidR="00473A7B" w:rsidRPr="006D5D6F" w:rsidRDefault="00473A7B" w:rsidP="00EB27EF">
            <w:pPr>
              <w:jc w:val="both"/>
              <w:rPr>
                <w:rFonts w:ascii="Verdana" w:hAnsi="Verdana"/>
                <w:sz w:val="20"/>
                <w:szCs w:val="20"/>
              </w:rPr>
            </w:pPr>
          </w:p>
          <w:p w:rsidR="00473A7B" w:rsidRPr="006D5D6F" w:rsidRDefault="00473A7B" w:rsidP="00EB27EF">
            <w:pPr>
              <w:jc w:val="both"/>
              <w:rPr>
                <w:rFonts w:ascii="Verdana" w:hAnsi="Verdana"/>
                <w:sz w:val="20"/>
                <w:szCs w:val="20"/>
              </w:rPr>
            </w:pPr>
          </w:p>
        </w:tc>
        <w:tc>
          <w:tcPr>
            <w:tcW w:w="1000" w:type="pct"/>
          </w:tcPr>
          <w:p w:rsidR="00473A7B" w:rsidRPr="006D5D6F" w:rsidRDefault="00473A7B" w:rsidP="00EB27EF">
            <w:pPr>
              <w:jc w:val="both"/>
              <w:rPr>
                <w:rFonts w:ascii="Verdana" w:hAnsi="Verdana"/>
                <w:b/>
                <w:sz w:val="20"/>
                <w:szCs w:val="20"/>
              </w:rPr>
            </w:pPr>
            <w:r w:rsidRPr="006D5D6F">
              <w:rPr>
                <w:rFonts w:ascii="Verdana" w:hAnsi="Verdana"/>
                <w:b/>
                <w:sz w:val="20"/>
                <w:szCs w:val="20"/>
              </w:rPr>
              <w:lastRenderedPageBreak/>
              <w:t xml:space="preserve">RAC and SEAC: </w:t>
            </w:r>
            <w:r w:rsidRPr="006D5D6F">
              <w:rPr>
                <w:rFonts w:ascii="Verdana" w:hAnsi="Verdana"/>
                <w:sz w:val="20"/>
                <w:szCs w:val="20"/>
              </w:rPr>
              <w:t>No further comments.</w:t>
            </w:r>
          </w:p>
        </w:tc>
      </w:tr>
      <w:tr w:rsidR="00473A7B" w:rsidRPr="006D5D6F" w:rsidTr="00EB27EF">
        <w:trPr>
          <w:trHeight w:val="344"/>
        </w:trPr>
        <w:tc>
          <w:tcPr>
            <w:tcW w:w="235" w:type="pct"/>
            <w:vMerge/>
          </w:tcPr>
          <w:p w:rsidR="00473A7B" w:rsidRPr="006D5D6F" w:rsidRDefault="00473A7B" w:rsidP="00EB27EF">
            <w:pPr>
              <w:jc w:val="center"/>
              <w:rPr>
                <w:rFonts w:ascii="Verdana" w:hAnsi="Verdana"/>
                <w:b/>
                <w:noProof/>
                <w:sz w:val="20"/>
                <w:szCs w:val="20"/>
              </w:rPr>
            </w:pPr>
          </w:p>
        </w:tc>
        <w:tc>
          <w:tcPr>
            <w:tcW w:w="1060" w:type="pct"/>
            <w:vMerge/>
          </w:tcPr>
          <w:p w:rsidR="00473A7B" w:rsidRPr="006D5D6F" w:rsidRDefault="00473A7B" w:rsidP="00EB27EF">
            <w:pPr>
              <w:jc w:val="both"/>
              <w:rPr>
                <w:rFonts w:ascii="Verdana" w:hAnsi="Verdana"/>
                <w:noProof/>
                <w:sz w:val="20"/>
                <w:szCs w:val="20"/>
              </w:rPr>
            </w:pPr>
          </w:p>
        </w:tc>
        <w:tc>
          <w:tcPr>
            <w:tcW w:w="3705" w:type="pct"/>
            <w:gridSpan w:val="4"/>
          </w:tcPr>
          <w:p w:rsidR="00473A7B" w:rsidRPr="006D5D6F" w:rsidRDefault="00473A7B" w:rsidP="00EB27EF">
            <w:pPr>
              <w:jc w:val="both"/>
              <w:rPr>
                <w:rFonts w:ascii="Verdana" w:hAnsi="Verdana"/>
                <w:noProof/>
                <w:sz w:val="20"/>
                <w:szCs w:val="20"/>
              </w:rPr>
            </w:pPr>
            <w:r w:rsidRPr="006D5D6F">
              <w:rPr>
                <w:rFonts w:ascii="Verdana" w:hAnsi="Verdana"/>
                <w:noProof/>
                <w:sz w:val="20"/>
                <w:szCs w:val="20"/>
              </w:rPr>
              <w:t>Remaining comments are addressed in Table II, H 01; 06; 07 and 11.</w:t>
            </w:r>
          </w:p>
        </w:tc>
      </w:tr>
      <w:tr w:rsidR="00473A7B" w:rsidRPr="006D5D6F" w:rsidTr="00EB27EF">
        <w:tc>
          <w:tcPr>
            <w:tcW w:w="235" w:type="pct"/>
            <w:vMerge w:val="restart"/>
          </w:tcPr>
          <w:p w:rsidR="00473A7B" w:rsidRPr="006D5D6F" w:rsidRDefault="00473A7B" w:rsidP="00EB27EF">
            <w:pPr>
              <w:jc w:val="center"/>
              <w:rPr>
                <w:rFonts w:ascii="Verdana" w:hAnsi="Verdana"/>
                <w:b/>
                <w:sz w:val="20"/>
                <w:szCs w:val="20"/>
              </w:rPr>
            </w:pPr>
            <w:r w:rsidRPr="006D5D6F">
              <w:rPr>
                <w:rFonts w:ascii="Verdana" w:hAnsi="Verdana"/>
                <w:b/>
                <w:noProof/>
                <w:sz w:val="20"/>
                <w:szCs w:val="20"/>
              </w:rPr>
              <w:t>160</w:t>
            </w:r>
          </w:p>
        </w:tc>
        <w:tc>
          <w:tcPr>
            <w:tcW w:w="1060" w:type="pct"/>
            <w:vMerge w:val="restart"/>
          </w:tcPr>
          <w:p w:rsidR="00473A7B" w:rsidRPr="006D5D6F" w:rsidRDefault="00473A7B" w:rsidP="00EB27EF">
            <w:pPr>
              <w:jc w:val="both"/>
              <w:rPr>
                <w:rFonts w:ascii="Verdana" w:hAnsi="Verdana"/>
                <w:sz w:val="20"/>
                <w:szCs w:val="20"/>
              </w:rPr>
            </w:pPr>
            <w:r w:rsidRPr="006D5D6F">
              <w:rPr>
                <w:rFonts w:ascii="Verdana" w:hAnsi="Verdana"/>
                <w:sz w:val="20"/>
                <w:szCs w:val="20"/>
              </w:rPr>
              <w:t xml:space="preserve"> /  /   </w:t>
            </w:r>
            <w:smartTag w:uri="urn:schemas-microsoft-com:office:smarttags" w:element="country-region">
              <w:smartTag w:uri="urn:schemas-microsoft-com:office:smarttags" w:element="place">
                <w:r w:rsidRPr="006D5D6F">
                  <w:rPr>
                    <w:rFonts w:ascii="Verdana" w:hAnsi="Verdana"/>
                    <w:noProof/>
                    <w:sz w:val="20"/>
                    <w:szCs w:val="20"/>
                  </w:rPr>
                  <w:t>Sweden</w:t>
                </w:r>
              </w:smartTag>
            </w:smartTag>
            <w:r w:rsidRPr="006D5D6F">
              <w:rPr>
                <w:rFonts w:ascii="Verdana" w:hAnsi="Verdana"/>
                <w:noProof/>
                <w:sz w:val="20"/>
                <w:szCs w:val="20"/>
              </w:rPr>
              <w:t xml:space="preserve"> MSCA</w:t>
            </w:r>
          </w:p>
          <w:p w:rsidR="00473A7B" w:rsidRPr="006D5D6F" w:rsidRDefault="00473A7B" w:rsidP="00EB27EF">
            <w:pPr>
              <w:jc w:val="both"/>
              <w:rPr>
                <w:rFonts w:ascii="Verdana" w:hAnsi="Verdana"/>
                <w:sz w:val="20"/>
                <w:szCs w:val="20"/>
              </w:rPr>
            </w:pPr>
            <w:r w:rsidRPr="006D5D6F">
              <w:rPr>
                <w:rFonts w:ascii="Verdana" w:hAnsi="Verdana"/>
                <w:noProof/>
                <w:sz w:val="20"/>
                <w:szCs w:val="20"/>
              </w:rPr>
              <w:object w:dxaOrig="1534" w:dyaOrig="993">
                <v:shape id="_x0000_i1027" type="#_x0000_t75" style="width:75.75pt;height:49.5pt" o:ole="">
                  <v:imagedata r:id="rId18" o:title=""/>
                </v:shape>
                <o:OLEObject Type="Embed" ProgID="Word.Document.8" ShapeID="_x0000_i1027" DrawAspect="Icon" ObjectID="_1594549403" r:id="rId19">
                  <o:FieldCodes>\s</o:FieldCodes>
                </o:OLEObject>
              </w:object>
            </w:r>
          </w:p>
        </w:tc>
        <w:tc>
          <w:tcPr>
            <w:tcW w:w="1658" w:type="pct"/>
            <w:gridSpan w:val="2"/>
          </w:tcPr>
          <w:p w:rsidR="00473A7B" w:rsidRPr="006D5D6F" w:rsidRDefault="00473A7B" w:rsidP="00EB27EF">
            <w:pPr>
              <w:jc w:val="both"/>
              <w:rPr>
                <w:rFonts w:ascii="Verdana" w:hAnsi="Verdana"/>
                <w:noProof/>
                <w:sz w:val="20"/>
                <w:szCs w:val="20"/>
              </w:rPr>
            </w:pPr>
            <w:smartTag w:uri="urn:schemas-microsoft-com:office:smarttags" w:element="country-region">
              <w:smartTag w:uri="urn:schemas-microsoft-com:office:smarttags" w:element="place">
                <w:r w:rsidRPr="006D5D6F">
                  <w:rPr>
                    <w:rFonts w:ascii="Verdana" w:hAnsi="Verdana"/>
                    <w:noProof/>
                    <w:sz w:val="20"/>
                    <w:szCs w:val="20"/>
                  </w:rPr>
                  <w:t>Sweden</w:t>
                </w:r>
              </w:smartTag>
            </w:smartTag>
            <w:r w:rsidRPr="006D5D6F">
              <w:rPr>
                <w:rFonts w:ascii="Verdana" w:hAnsi="Verdana"/>
                <w:noProof/>
                <w:sz w:val="20"/>
                <w:szCs w:val="20"/>
              </w:rPr>
              <w:t xml:space="preserve"> agrees that a proper functioning of the internal market necessitates action on a Community wide basis and that a restriction is an appropriate action. Although three of the four phthalates (DEHP, BBP and DBP) are included in Annex XIV the import of articles containing the three phthalates will not be affected since the authorization process does not cover imported articles. </w:t>
            </w:r>
          </w:p>
        </w:tc>
        <w:tc>
          <w:tcPr>
            <w:tcW w:w="1047" w:type="pct"/>
          </w:tcPr>
          <w:p w:rsidR="00473A7B" w:rsidRPr="006D5D6F" w:rsidRDefault="00473A7B" w:rsidP="00EB27EF">
            <w:pPr>
              <w:jc w:val="both"/>
              <w:rPr>
                <w:rFonts w:ascii="Verdana" w:hAnsi="Verdana"/>
                <w:sz w:val="20"/>
                <w:szCs w:val="20"/>
              </w:rPr>
            </w:pPr>
            <w:r w:rsidRPr="006D5D6F">
              <w:rPr>
                <w:rFonts w:ascii="Verdana" w:hAnsi="Verdana"/>
                <w:sz w:val="20"/>
                <w:szCs w:val="20"/>
              </w:rPr>
              <w:t>We agree.</w:t>
            </w:r>
          </w:p>
        </w:tc>
        <w:tc>
          <w:tcPr>
            <w:tcW w:w="1000" w:type="pct"/>
          </w:tcPr>
          <w:p w:rsidR="00473A7B" w:rsidRPr="006D5D6F" w:rsidRDefault="00473A7B" w:rsidP="00B35FDC">
            <w:pPr>
              <w:jc w:val="both"/>
              <w:rPr>
                <w:rFonts w:ascii="Verdana" w:hAnsi="Verdana"/>
                <w:b/>
                <w:sz w:val="20"/>
                <w:szCs w:val="20"/>
              </w:rPr>
            </w:pPr>
            <w:r w:rsidRPr="006D5D6F">
              <w:rPr>
                <w:rFonts w:ascii="Verdana" w:hAnsi="Verdana"/>
                <w:b/>
                <w:sz w:val="20"/>
                <w:szCs w:val="20"/>
              </w:rPr>
              <w:t xml:space="preserve">RAC and SEAC: </w:t>
            </w:r>
            <w:r w:rsidRPr="006D5D6F">
              <w:rPr>
                <w:rFonts w:ascii="Verdana" w:hAnsi="Verdana"/>
                <w:sz w:val="20"/>
                <w:szCs w:val="20"/>
              </w:rPr>
              <w:t xml:space="preserve">We agree with the basic principles but </w:t>
            </w:r>
            <w:r w:rsidR="00B35FDC">
              <w:rPr>
                <w:rFonts w:ascii="Verdana" w:hAnsi="Verdana"/>
                <w:sz w:val="20"/>
                <w:szCs w:val="20"/>
              </w:rPr>
              <w:t>can</w:t>
            </w:r>
            <w:r w:rsidRPr="006D5D6F">
              <w:rPr>
                <w:rFonts w:ascii="Verdana" w:hAnsi="Verdana"/>
                <w:sz w:val="20"/>
                <w:szCs w:val="20"/>
              </w:rPr>
              <w:t xml:space="preserve">not </w:t>
            </w:r>
            <w:r w:rsidR="00B35FDC">
              <w:rPr>
                <w:rFonts w:ascii="Verdana" w:hAnsi="Verdana"/>
                <w:sz w:val="20"/>
                <w:szCs w:val="20"/>
              </w:rPr>
              <w:t>support this</w:t>
            </w:r>
            <w:r w:rsidRPr="006D5D6F">
              <w:rPr>
                <w:rFonts w:ascii="Verdana" w:hAnsi="Verdana"/>
                <w:sz w:val="20"/>
                <w:szCs w:val="20"/>
              </w:rPr>
              <w:t xml:space="preserve"> restriction </w:t>
            </w:r>
            <w:r w:rsidR="00B35FDC">
              <w:rPr>
                <w:rFonts w:ascii="Verdana" w:hAnsi="Verdana"/>
                <w:sz w:val="20"/>
                <w:szCs w:val="20"/>
              </w:rPr>
              <w:t>proposal at hand as it did not provide sufficient</w:t>
            </w:r>
            <w:r w:rsidRPr="006D5D6F">
              <w:rPr>
                <w:rFonts w:ascii="Verdana" w:hAnsi="Verdana"/>
                <w:sz w:val="20"/>
                <w:szCs w:val="20"/>
              </w:rPr>
              <w:t xml:space="preserve"> justification for a health risk to be addressed.  </w:t>
            </w:r>
          </w:p>
        </w:tc>
      </w:tr>
      <w:tr w:rsidR="00473A7B" w:rsidRPr="006D5D6F" w:rsidTr="00EB27EF">
        <w:tc>
          <w:tcPr>
            <w:tcW w:w="235" w:type="pct"/>
            <w:vMerge/>
          </w:tcPr>
          <w:p w:rsidR="00473A7B" w:rsidRPr="006D5D6F" w:rsidRDefault="00473A7B" w:rsidP="00EB27EF">
            <w:pPr>
              <w:jc w:val="center"/>
              <w:rPr>
                <w:rFonts w:ascii="Verdana" w:hAnsi="Verdana"/>
                <w:b/>
                <w:noProof/>
                <w:sz w:val="20"/>
                <w:szCs w:val="20"/>
              </w:rPr>
            </w:pPr>
          </w:p>
        </w:tc>
        <w:tc>
          <w:tcPr>
            <w:tcW w:w="1060" w:type="pct"/>
            <w:vMerge/>
          </w:tcPr>
          <w:p w:rsidR="00473A7B" w:rsidRPr="006D5D6F" w:rsidRDefault="00473A7B" w:rsidP="00EB27EF">
            <w:pPr>
              <w:jc w:val="both"/>
              <w:rPr>
                <w:rFonts w:ascii="Verdana" w:hAnsi="Verdana"/>
                <w:noProof/>
                <w:sz w:val="20"/>
                <w:szCs w:val="20"/>
              </w:rPr>
            </w:pPr>
          </w:p>
        </w:tc>
        <w:tc>
          <w:tcPr>
            <w:tcW w:w="1658" w:type="pct"/>
            <w:gridSpan w:val="2"/>
            <w:vMerge w:val="restart"/>
          </w:tcPr>
          <w:p w:rsidR="00473A7B" w:rsidRPr="006D5D6F" w:rsidRDefault="00473A7B" w:rsidP="00EB27EF">
            <w:pPr>
              <w:jc w:val="both"/>
              <w:rPr>
                <w:rFonts w:ascii="Verdana" w:hAnsi="Verdana"/>
                <w:noProof/>
                <w:sz w:val="20"/>
                <w:szCs w:val="20"/>
              </w:rPr>
            </w:pPr>
            <w:r w:rsidRPr="006D5D6F">
              <w:rPr>
                <w:rFonts w:ascii="Verdana" w:hAnsi="Verdana"/>
                <w:noProof/>
                <w:sz w:val="20"/>
                <w:szCs w:val="20"/>
              </w:rPr>
              <w:t>Baseline</w:t>
            </w:r>
          </w:p>
          <w:p w:rsidR="00473A7B" w:rsidRPr="006D5D6F" w:rsidRDefault="00473A7B" w:rsidP="00EB27EF">
            <w:pPr>
              <w:jc w:val="both"/>
              <w:rPr>
                <w:rStyle w:val="Strong"/>
                <w:rFonts w:ascii="Verdana" w:hAnsi="Verdana"/>
                <w:b w:val="0"/>
                <w:bCs w:val="0"/>
                <w:noProof/>
                <w:sz w:val="20"/>
                <w:szCs w:val="20"/>
              </w:rPr>
            </w:pPr>
            <w:r w:rsidRPr="006D5D6F">
              <w:rPr>
                <w:rFonts w:ascii="Verdana" w:hAnsi="Verdana"/>
                <w:noProof/>
                <w:sz w:val="20"/>
                <w:szCs w:val="20"/>
              </w:rPr>
              <w:t xml:space="preserve">A clearer definition and identification of the baseline is needed in order to fully answer the question “what will be the outcome without implementing any further action”.  The description of the baseline also needs to consider eventual outcome of an authorisation for one of or several of the phthalates in question and what this will mean in terms of risk reduction. The baseline scenario also needs to take a longer time perspective into account. </w:t>
            </w:r>
          </w:p>
        </w:tc>
        <w:tc>
          <w:tcPr>
            <w:tcW w:w="1047" w:type="pct"/>
          </w:tcPr>
          <w:p w:rsidR="00473A7B" w:rsidRPr="006D5D6F" w:rsidRDefault="00473A7B" w:rsidP="00EB27EF">
            <w:pPr>
              <w:jc w:val="both"/>
              <w:rPr>
                <w:rFonts w:ascii="Verdana" w:hAnsi="Verdana"/>
                <w:sz w:val="20"/>
                <w:szCs w:val="20"/>
              </w:rPr>
            </w:pPr>
            <w:r w:rsidRPr="006D5D6F">
              <w:rPr>
                <w:rFonts w:ascii="Verdana" w:hAnsi="Verdana"/>
                <w:sz w:val="20"/>
                <w:szCs w:val="20"/>
              </w:rPr>
              <w:t>The baseline chapter has been totally revised in the BD and we thus refer to the new version.</w:t>
            </w:r>
          </w:p>
        </w:tc>
        <w:tc>
          <w:tcPr>
            <w:tcW w:w="1000" w:type="pct"/>
          </w:tcPr>
          <w:p w:rsidR="00473A7B" w:rsidRPr="006D5D6F" w:rsidRDefault="00473A7B" w:rsidP="00922F86">
            <w:pPr>
              <w:jc w:val="both"/>
              <w:rPr>
                <w:rFonts w:ascii="Verdana" w:hAnsi="Verdana"/>
                <w:b/>
                <w:sz w:val="20"/>
                <w:szCs w:val="20"/>
              </w:rPr>
            </w:pPr>
            <w:r w:rsidRPr="006D5D6F">
              <w:rPr>
                <w:rFonts w:ascii="Verdana" w:hAnsi="Verdana"/>
                <w:b/>
                <w:sz w:val="20"/>
                <w:szCs w:val="20"/>
              </w:rPr>
              <w:t xml:space="preserve">RAC and SEAC: </w:t>
            </w:r>
            <w:r w:rsidRPr="006D5D6F">
              <w:rPr>
                <w:rFonts w:ascii="Verdana" w:hAnsi="Verdana"/>
                <w:sz w:val="20"/>
                <w:szCs w:val="20"/>
              </w:rPr>
              <w:t xml:space="preserve">We agree and also refer to the updated discussion in </w:t>
            </w:r>
            <w:r w:rsidR="00922F86">
              <w:rPr>
                <w:rFonts w:ascii="Verdana" w:hAnsi="Verdana"/>
                <w:sz w:val="20"/>
                <w:szCs w:val="20"/>
              </w:rPr>
              <w:t xml:space="preserve">appendix 2 of </w:t>
            </w:r>
            <w:r w:rsidRPr="006D5D6F">
              <w:rPr>
                <w:rFonts w:ascii="Verdana" w:hAnsi="Verdana"/>
                <w:sz w:val="20"/>
                <w:szCs w:val="20"/>
              </w:rPr>
              <w:t>the BD.</w:t>
            </w:r>
          </w:p>
        </w:tc>
      </w:tr>
      <w:tr w:rsidR="00473A7B" w:rsidRPr="006D5D6F" w:rsidTr="00EB27EF">
        <w:tc>
          <w:tcPr>
            <w:tcW w:w="235" w:type="pct"/>
            <w:vMerge/>
          </w:tcPr>
          <w:p w:rsidR="00473A7B" w:rsidRPr="006D5D6F" w:rsidRDefault="00473A7B" w:rsidP="00EB27EF">
            <w:pPr>
              <w:jc w:val="center"/>
              <w:rPr>
                <w:rFonts w:ascii="Verdana" w:hAnsi="Verdana"/>
                <w:b/>
                <w:noProof/>
                <w:sz w:val="20"/>
                <w:szCs w:val="20"/>
              </w:rPr>
            </w:pPr>
          </w:p>
        </w:tc>
        <w:tc>
          <w:tcPr>
            <w:tcW w:w="1060" w:type="pct"/>
            <w:vMerge/>
          </w:tcPr>
          <w:p w:rsidR="00473A7B" w:rsidRPr="006D5D6F" w:rsidRDefault="00473A7B" w:rsidP="00EB27EF">
            <w:pPr>
              <w:jc w:val="both"/>
              <w:rPr>
                <w:rFonts w:ascii="Verdana" w:hAnsi="Verdana"/>
                <w:noProof/>
                <w:sz w:val="20"/>
                <w:szCs w:val="20"/>
              </w:rPr>
            </w:pPr>
          </w:p>
        </w:tc>
        <w:tc>
          <w:tcPr>
            <w:tcW w:w="1658" w:type="pct"/>
            <w:gridSpan w:val="2"/>
            <w:vMerge/>
          </w:tcPr>
          <w:p w:rsidR="00473A7B" w:rsidRPr="006D5D6F" w:rsidRDefault="00473A7B" w:rsidP="00EB27EF">
            <w:pPr>
              <w:jc w:val="both"/>
              <w:rPr>
                <w:rFonts w:ascii="Verdana" w:hAnsi="Verdana"/>
                <w:noProof/>
                <w:sz w:val="20"/>
                <w:szCs w:val="20"/>
              </w:rPr>
            </w:pPr>
          </w:p>
        </w:tc>
        <w:tc>
          <w:tcPr>
            <w:tcW w:w="1047" w:type="pct"/>
          </w:tcPr>
          <w:p w:rsidR="00473A7B" w:rsidRPr="006D5D6F" w:rsidRDefault="00473A7B" w:rsidP="00EB27EF">
            <w:pPr>
              <w:jc w:val="both"/>
              <w:rPr>
                <w:rStyle w:val="Strong"/>
                <w:rFonts w:ascii="Verdana" w:hAnsi="Verdana"/>
                <w:sz w:val="20"/>
                <w:szCs w:val="20"/>
              </w:rPr>
            </w:pPr>
          </w:p>
        </w:tc>
        <w:tc>
          <w:tcPr>
            <w:tcW w:w="1000" w:type="pct"/>
          </w:tcPr>
          <w:p w:rsidR="00473A7B" w:rsidRPr="006D5D6F" w:rsidRDefault="00473A7B" w:rsidP="00EB27EF">
            <w:pPr>
              <w:pStyle w:val="NormalWeb"/>
              <w:spacing w:before="0" w:beforeAutospacing="0" w:after="0" w:line="384" w:lineRule="atLeast"/>
              <w:rPr>
                <w:rStyle w:val="Strong"/>
                <w:rFonts w:ascii="Verdana" w:hAnsi="Verdana"/>
                <w:sz w:val="20"/>
                <w:szCs w:val="20"/>
              </w:rPr>
            </w:pPr>
          </w:p>
        </w:tc>
      </w:tr>
      <w:tr w:rsidR="00473A7B" w:rsidRPr="006D5D6F" w:rsidTr="00EB27EF">
        <w:trPr>
          <w:trHeight w:val="335"/>
        </w:trPr>
        <w:tc>
          <w:tcPr>
            <w:tcW w:w="235" w:type="pct"/>
            <w:vMerge/>
          </w:tcPr>
          <w:p w:rsidR="00473A7B" w:rsidRPr="006D5D6F" w:rsidRDefault="00473A7B" w:rsidP="00EB27EF">
            <w:pPr>
              <w:jc w:val="center"/>
              <w:rPr>
                <w:rFonts w:ascii="Verdana" w:hAnsi="Verdana"/>
                <w:b/>
                <w:noProof/>
                <w:sz w:val="20"/>
                <w:szCs w:val="20"/>
              </w:rPr>
            </w:pPr>
          </w:p>
        </w:tc>
        <w:tc>
          <w:tcPr>
            <w:tcW w:w="1060" w:type="pct"/>
            <w:vMerge/>
          </w:tcPr>
          <w:p w:rsidR="00473A7B" w:rsidRPr="006D5D6F" w:rsidRDefault="00473A7B" w:rsidP="00EB27EF">
            <w:pPr>
              <w:jc w:val="both"/>
              <w:rPr>
                <w:rFonts w:ascii="Verdana" w:hAnsi="Verdana"/>
                <w:noProof/>
                <w:sz w:val="20"/>
                <w:szCs w:val="20"/>
              </w:rPr>
            </w:pPr>
          </w:p>
        </w:tc>
        <w:tc>
          <w:tcPr>
            <w:tcW w:w="3705" w:type="pct"/>
            <w:gridSpan w:val="4"/>
          </w:tcPr>
          <w:p w:rsidR="00473A7B" w:rsidRPr="006D5D6F" w:rsidRDefault="00473A7B" w:rsidP="00EB27EF">
            <w:pPr>
              <w:pStyle w:val="NormalWeb"/>
              <w:spacing w:before="0" w:beforeAutospacing="0" w:after="0"/>
              <w:rPr>
                <w:rStyle w:val="Strong"/>
                <w:rFonts w:ascii="Verdana" w:hAnsi="Verdana"/>
                <w:sz w:val="20"/>
                <w:szCs w:val="20"/>
              </w:rPr>
            </w:pPr>
            <w:r w:rsidRPr="006D5D6F">
              <w:rPr>
                <w:rFonts w:ascii="Verdana" w:hAnsi="Verdana"/>
                <w:noProof/>
                <w:sz w:val="20"/>
                <w:szCs w:val="20"/>
              </w:rPr>
              <w:t>Remaining comments are addressed in Table II, H 07; 10 and 11.</w:t>
            </w:r>
          </w:p>
        </w:tc>
      </w:tr>
      <w:tr w:rsidR="00473A7B" w:rsidRPr="006D5D6F" w:rsidTr="00EB27EF">
        <w:tc>
          <w:tcPr>
            <w:tcW w:w="235" w:type="pct"/>
            <w:vMerge w:val="restart"/>
          </w:tcPr>
          <w:p w:rsidR="00473A7B" w:rsidRPr="006D5D6F" w:rsidRDefault="00473A7B" w:rsidP="00EB27EF">
            <w:pPr>
              <w:jc w:val="center"/>
              <w:rPr>
                <w:rFonts w:ascii="Verdana" w:hAnsi="Verdana"/>
                <w:b/>
                <w:sz w:val="20"/>
                <w:szCs w:val="20"/>
              </w:rPr>
            </w:pPr>
            <w:r w:rsidRPr="006D5D6F">
              <w:rPr>
                <w:rFonts w:ascii="Verdana" w:hAnsi="Verdana"/>
                <w:b/>
                <w:noProof/>
                <w:sz w:val="20"/>
                <w:szCs w:val="20"/>
              </w:rPr>
              <w:t>158</w:t>
            </w:r>
          </w:p>
        </w:tc>
        <w:tc>
          <w:tcPr>
            <w:tcW w:w="1060" w:type="pct"/>
            <w:vMerge w:val="restart"/>
          </w:tcPr>
          <w:p w:rsidR="00473A7B" w:rsidRPr="006D5D6F" w:rsidRDefault="00473A7B" w:rsidP="00EB27EF">
            <w:pPr>
              <w:jc w:val="both"/>
              <w:rPr>
                <w:rFonts w:ascii="Verdana" w:hAnsi="Verdana"/>
                <w:sz w:val="20"/>
                <w:szCs w:val="20"/>
              </w:rPr>
            </w:pPr>
            <w:r w:rsidRPr="006D5D6F">
              <w:rPr>
                <w:rFonts w:ascii="Verdana" w:hAnsi="Verdana"/>
                <w:sz w:val="20"/>
                <w:szCs w:val="20"/>
              </w:rPr>
              <w:t xml:space="preserve">/  /   </w:t>
            </w:r>
            <w:r w:rsidRPr="006D5D6F">
              <w:rPr>
                <w:rFonts w:ascii="Verdana" w:hAnsi="Verdana"/>
                <w:color w:val="000000"/>
                <w:sz w:val="20"/>
                <w:szCs w:val="20"/>
              </w:rPr>
              <w:t>Individual</w:t>
            </w:r>
          </w:p>
          <w:p w:rsidR="00473A7B" w:rsidRPr="006D5D6F" w:rsidRDefault="00473A7B" w:rsidP="00EB27EF">
            <w:pPr>
              <w:jc w:val="both"/>
              <w:rPr>
                <w:rFonts w:ascii="Verdana" w:hAnsi="Verdana"/>
                <w:sz w:val="20"/>
                <w:szCs w:val="20"/>
              </w:rPr>
            </w:pPr>
          </w:p>
        </w:tc>
        <w:tc>
          <w:tcPr>
            <w:tcW w:w="1658" w:type="pct"/>
            <w:gridSpan w:val="2"/>
          </w:tcPr>
          <w:p w:rsidR="00473A7B" w:rsidRPr="006D5D6F" w:rsidRDefault="00473A7B" w:rsidP="00EB27EF">
            <w:pPr>
              <w:jc w:val="both"/>
              <w:rPr>
                <w:rFonts w:ascii="Verdana" w:hAnsi="Verdana"/>
                <w:noProof/>
                <w:sz w:val="20"/>
                <w:szCs w:val="20"/>
              </w:rPr>
            </w:pPr>
            <w:r w:rsidRPr="006D5D6F">
              <w:rPr>
                <w:rFonts w:ascii="Verdana" w:hAnsi="Verdana"/>
                <w:noProof/>
                <w:sz w:val="20"/>
                <w:szCs w:val="20"/>
              </w:rPr>
              <w:t xml:space="preserve">Will Denmark respect common EU REACH regulations or will it continue to have national laws exceeding REACH for toys such as law :- Statutory Order 855 of 05/09/2009 which has limits of 0.05% for certain phthalates as opposed to the 0.1% limit in REACH which is applied by all the rest of EU ? </w:t>
            </w:r>
          </w:p>
        </w:tc>
        <w:tc>
          <w:tcPr>
            <w:tcW w:w="1047" w:type="pct"/>
          </w:tcPr>
          <w:p w:rsidR="00473A7B" w:rsidRPr="006D5D6F" w:rsidRDefault="00473A7B" w:rsidP="00EB27EF">
            <w:pPr>
              <w:jc w:val="both"/>
              <w:rPr>
                <w:rFonts w:ascii="Verdana" w:hAnsi="Verdana"/>
                <w:sz w:val="20"/>
                <w:szCs w:val="20"/>
              </w:rPr>
            </w:pPr>
            <w:r w:rsidRPr="006D5D6F">
              <w:rPr>
                <w:rFonts w:ascii="Verdana" w:hAnsi="Verdana"/>
                <w:sz w:val="20"/>
                <w:szCs w:val="20"/>
              </w:rPr>
              <w:t>We consider this a political statement that has nothing to do with the proposed restriction and thus is not relevant to react upon</w:t>
            </w:r>
          </w:p>
        </w:tc>
        <w:tc>
          <w:tcPr>
            <w:tcW w:w="1000" w:type="pct"/>
          </w:tcPr>
          <w:p w:rsidR="00473A7B" w:rsidRPr="006D5D6F" w:rsidRDefault="00473A7B" w:rsidP="00EB27EF">
            <w:pPr>
              <w:jc w:val="both"/>
              <w:rPr>
                <w:rFonts w:ascii="Verdana" w:hAnsi="Verdana"/>
                <w:b/>
                <w:sz w:val="20"/>
                <w:szCs w:val="20"/>
              </w:rPr>
            </w:pPr>
            <w:r w:rsidRPr="006D5D6F">
              <w:rPr>
                <w:rFonts w:ascii="Verdana" w:hAnsi="Verdana"/>
                <w:b/>
                <w:sz w:val="20"/>
                <w:szCs w:val="20"/>
              </w:rPr>
              <w:t xml:space="preserve">RAC and SEAC: </w:t>
            </w:r>
            <w:r w:rsidRPr="006D5D6F">
              <w:rPr>
                <w:rFonts w:ascii="Verdana" w:hAnsi="Verdana"/>
                <w:sz w:val="20"/>
                <w:szCs w:val="20"/>
              </w:rPr>
              <w:t>No comment.</w:t>
            </w:r>
          </w:p>
        </w:tc>
      </w:tr>
      <w:tr w:rsidR="00473A7B" w:rsidRPr="006D5D6F" w:rsidTr="00EB27EF">
        <w:trPr>
          <w:trHeight w:val="1694"/>
        </w:trPr>
        <w:tc>
          <w:tcPr>
            <w:tcW w:w="235" w:type="pct"/>
            <w:vMerge/>
          </w:tcPr>
          <w:p w:rsidR="00473A7B" w:rsidRPr="006D5D6F" w:rsidRDefault="00473A7B" w:rsidP="00EB27EF">
            <w:pPr>
              <w:jc w:val="center"/>
              <w:rPr>
                <w:rFonts w:ascii="Verdana" w:hAnsi="Verdana"/>
                <w:b/>
                <w:noProof/>
                <w:sz w:val="20"/>
                <w:szCs w:val="20"/>
              </w:rPr>
            </w:pPr>
          </w:p>
        </w:tc>
        <w:tc>
          <w:tcPr>
            <w:tcW w:w="1060" w:type="pct"/>
            <w:vMerge/>
          </w:tcPr>
          <w:p w:rsidR="00473A7B" w:rsidRPr="006D5D6F" w:rsidRDefault="00473A7B" w:rsidP="00EB27EF">
            <w:pPr>
              <w:jc w:val="both"/>
              <w:rPr>
                <w:rFonts w:ascii="Verdana" w:hAnsi="Verdana"/>
                <w:noProof/>
                <w:sz w:val="20"/>
                <w:szCs w:val="20"/>
              </w:rPr>
            </w:pPr>
          </w:p>
        </w:tc>
        <w:tc>
          <w:tcPr>
            <w:tcW w:w="1658" w:type="pct"/>
            <w:gridSpan w:val="2"/>
          </w:tcPr>
          <w:p w:rsidR="00473A7B" w:rsidRPr="006D5D6F" w:rsidRDefault="00473A7B" w:rsidP="00EB27EF">
            <w:pPr>
              <w:jc w:val="both"/>
              <w:rPr>
                <w:rFonts w:ascii="Verdana" w:hAnsi="Verdana"/>
                <w:b/>
                <w:sz w:val="20"/>
                <w:szCs w:val="20"/>
              </w:rPr>
            </w:pPr>
            <w:r w:rsidRPr="006D5D6F">
              <w:rPr>
                <w:rFonts w:ascii="Verdana" w:hAnsi="Verdana"/>
                <w:noProof/>
                <w:sz w:val="20"/>
                <w:szCs w:val="20"/>
              </w:rPr>
              <w:t>Does Denmark respect the REACH regulation process by adding it</w:t>
            </w:r>
            <w:smartTag w:uri="urn:schemas-microsoft-com:office:smarttags" w:element="PersonName">
              <w:r w:rsidRPr="006D5D6F">
                <w:rPr>
                  <w:rFonts w:ascii="Verdana" w:hAnsi="Verdana"/>
                  <w:noProof/>
                  <w:sz w:val="20"/>
                  <w:szCs w:val="20"/>
                </w:rPr>
                <w:t>'</w:t>
              </w:r>
            </w:smartTag>
            <w:r w:rsidRPr="006D5D6F">
              <w:rPr>
                <w:rFonts w:ascii="Verdana" w:hAnsi="Verdana"/>
                <w:noProof/>
                <w:sz w:val="20"/>
                <w:szCs w:val="20"/>
              </w:rPr>
              <w:t>s own natiuonal legislation which has different limits to REACH regulation and does the EU allow member states to make their own legislation which is different to REACH and a barrier to trade or is it unable to effectively manage the single market</w:t>
            </w:r>
          </w:p>
        </w:tc>
        <w:tc>
          <w:tcPr>
            <w:tcW w:w="1047" w:type="pct"/>
          </w:tcPr>
          <w:p w:rsidR="00473A7B" w:rsidRPr="006D5D6F" w:rsidRDefault="00473A7B" w:rsidP="00EB27EF">
            <w:pPr>
              <w:jc w:val="both"/>
              <w:rPr>
                <w:rFonts w:ascii="Verdana" w:hAnsi="Verdana"/>
                <w:b/>
                <w:sz w:val="20"/>
                <w:szCs w:val="20"/>
              </w:rPr>
            </w:pPr>
            <w:r w:rsidRPr="006D5D6F">
              <w:rPr>
                <w:rFonts w:ascii="Verdana" w:hAnsi="Verdana"/>
                <w:sz w:val="20"/>
                <w:szCs w:val="20"/>
              </w:rPr>
              <w:t xml:space="preserve">The comment is not relevant for the proposed restriction. </w:t>
            </w:r>
          </w:p>
        </w:tc>
        <w:tc>
          <w:tcPr>
            <w:tcW w:w="1000" w:type="pct"/>
          </w:tcPr>
          <w:p w:rsidR="00473A7B" w:rsidRPr="006D5D6F" w:rsidRDefault="00473A7B" w:rsidP="00EB27EF">
            <w:pPr>
              <w:jc w:val="both"/>
              <w:rPr>
                <w:rFonts w:ascii="Verdana" w:hAnsi="Verdana"/>
                <w:b/>
                <w:sz w:val="20"/>
                <w:szCs w:val="20"/>
              </w:rPr>
            </w:pPr>
            <w:r w:rsidRPr="006D5D6F">
              <w:rPr>
                <w:rFonts w:ascii="Verdana" w:hAnsi="Verdana"/>
                <w:b/>
                <w:sz w:val="20"/>
                <w:szCs w:val="20"/>
              </w:rPr>
              <w:t xml:space="preserve">RAC and SEAC: </w:t>
            </w:r>
            <w:r w:rsidRPr="006D5D6F">
              <w:rPr>
                <w:rFonts w:ascii="Verdana" w:hAnsi="Verdana"/>
                <w:sz w:val="20"/>
                <w:szCs w:val="20"/>
              </w:rPr>
              <w:t>No comment.</w:t>
            </w:r>
          </w:p>
        </w:tc>
      </w:tr>
      <w:tr w:rsidR="00473A7B" w:rsidRPr="006D5D6F" w:rsidTr="00EB27EF">
        <w:trPr>
          <w:trHeight w:val="2020"/>
        </w:trPr>
        <w:tc>
          <w:tcPr>
            <w:tcW w:w="235" w:type="pct"/>
            <w:vMerge w:val="restart"/>
          </w:tcPr>
          <w:p w:rsidR="00473A7B" w:rsidRPr="006D5D6F" w:rsidRDefault="00473A7B" w:rsidP="00EB27EF">
            <w:pPr>
              <w:jc w:val="center"/>
              <w:rPr>
                <w:rFonts w:ascii="Verdana" w:hAnsi="Verdana"/>
                <w:b/>
                <w:sz w:val="20"/>
                <w:szCs w:val="20"/>
              </w:rPr>
            </w:pPr>
            <w:r w:rsidRPr="006D5D6F">
              <w:rPr>
                <w:rFonts w:ascii="Verdana" w:hAnsi="Verdana"/>
                <w:b/>
                <w:noProof/>
                <w:sz w:val="20"/>
                <w:szCs w:val="20"/>
              </w:rPr>
              <w:t>153</w:t>
            </w:r>
          </w:p>
        </w:tc>
        <w:tc>
          <w:tcPr>
            <w:tcW w:w="1060" w:type="pct"/>
            <w:vMerge w:val="restart"/>
          </w:tcPr>
          <w:p w:rsidR="00473A7B" w:rsidRPr="006D5D6F" w:rsidRDefault="00473A7B" w:rsidP="00EB27EF">
            <w:pPr>
              <w:jc w:val="both"/>
              <w:rPr>
                <w:rFonts w:ascii="Verdana" w:hAnsi="Verdana"/>
                <w:sz w:val="20"/>
                <w:szCs w:val="20"/>
              </w:rPr>
            </w:pPr>
            <w:r w:rsidRPr="006D5D6F">
              <w:rPr>
                <w:rFonts w:ascii="Verdana" w:hAnsi="Verdana"/>
                <w:sz w:val="20"/>
                <w:szCs w:val="20"/>
              </w:rPr>
              <w:t xml:space="preserve">/  /   </w:t>
            </w:r>
            <w:smartTag w:uri="urn:schemas-microsoft-com:office:smarttags" w:element="country-region">
              <w:smartTag w:uri="urn:schemas-microsoft-com:office:smarttags" w:element="place">
                <w:r w:rsidRPr="006D5D6F">
                  <w:rPr>
                    <w:rFonts w:ascii="Verdana" w:hAnsi="Verdana"/>
                    <w:noProof/>
                    <w:sz w:val="20"/>
                    <w:szCs w:val="20"/>
                  </w:rPr>
                  <w:t>Ireland</w:t>
                </w:r>
              </w:smartTag>
            </w:smartTag>
            <w:r w:rsidRPr="006D5D6F">
              <w:rPr>
                <w:rFonts w:ascii="Verdana" w:hAnsi="Verdana"/>
                <w:noProof/>
                <w:sz w:val="20"/>
                <w:szCs w:val="20"/>
              </w:rPr>
              <w:t xml:space="preserve"> MSCA</w:t>
            </w:r>
          </w:p>
          <w:p w:rsidR="00473A7B" w:rsidRPr="006D5D6F" w:rsidRDefault="00473A7B" w:rsidP="00EB27EF">
            <w:pPr>
              <w:jc w:val="both"/>
              <w:rPr>
                <w:rFonts w:ascii="Verdana" w:hAnsi="Verdana"/>
                <w:sz w:val="20"/>
                <w:szCs w:val="20"/>
              </w:rPr>
            </w:pPr>
          </w:p>
          <w:p w:rsidR="00473A7B" w:rsidRPr="006D5D6F" w:rsidRDefault="00473A7B" w:rsidP="00EB27EF">
            <w:pPr>
              <w:jc w:val="both"/>
              <w:rPr>
                <w:rFonts w:ascii="Verdana" w:hAnsi="Verdana"/>
                <w:sz w:val="20"/>
                <w:szCs w:val="20"/>
              </w:rPr>
            </w:pPr>
          </w:p>
        </w:tc>
        <w:tc>
          <w:tcPr>
            <w:tcW w:w="1658" w:type="pct"/>
            <w:gridSpan w:val="2"/>
          </w:tcPr>
          <w:p w:rsidR="00473A7B" w:rsidRPr="006D5D6F" w:rsidRDefault="00473A7B" w:rsidP="00EB27EF">
            <w:pPr>
              <w:jc w:val="both"/>
              <w:rPr>
                <w:rFonts w:ascii="Verdana" w:hAnsi="Verdana"/>
                <w:noProof/>
                <w:sz w:val="20"/>
                <w:szCs w:val="20"/>
              </w:rPr>
            </w:pPr>
            <w:r w:rsidRPr="006D5D6F">
              <w:rPr>
                <w:rFonts w:ascii="Verdana" w:hAnsi="Verdana"/>
                <w:noProof/>
                <w:sz w:val="20"/>
                <w:szCs w:val="20"/>
              </w:rPr>
              <w:t xml:space="preserve">The IE CA supports the principle of substituting hazardous substance with less hazardous substances. However, based on the evidence presented in the dossier further data and evaluation is required to support the principle that a permanent EU restriction on phthalates should be introduced, to address the risk to human health associated with imported articles containing phthalates at &amp;gt; 0.1%. </w:t>
            </w:r>
          </w:p>
        </w:tc>
        <w:tc>
          <w:tcPr>
            <w:tcW w:w="1047" w:type="pct"/>
          </w:tcPr>
          <w:p w:rsidR="00473A7B" w:rsidRPr="006D5D6F" w:rsidRDefault="00473A7B" w:rsidP="00EB27EF">
            <w:pPr>
              <w:jc w:val="both"/>
              <w:rPr>
                <w:rFonts w:ascii="Verdana" w:hAnsi="Verdana"/>
                <w:b/>
                <w:sz w:val="20"/>
                <w:szCs w:val="20"/>
              </w:rPr>
            </w:pPr>
          </w:p>
        </w:tc>
        <w:tc>
          <w:tcPr>
            <w:tcW w:w="1000" w:type="pct"/>
          </w:tcPr>
          <w:p w:rsidR="00473A7B" w:rsidRPr="006D5D6F" w:rsidRDefault="00473A7B" w:rsidP="00EB27EF">
            <w:pPr>
              <w:jc w:val="both"/>
              <w:rPr>
                <w:rFonts w:ascii="Verdana" w:hAnsi="Verdana"/>
                <w:b/>
                <w:sz w:val="20"/>
                <w:szCs w:val="20"/>
              </w:rPr>
            </w:pPr>
          </w:p>
        </w:tc>
      </w:tr>
      <w:tr w:rsidR="00473A7B" w:rsidRPr="006D5D6F" w:rsidTr="00EB27EF">
        <w:tc>
          <w:tcPr>
            <w:tcW w:w="235" w:type="pct"/>
            <w:vMerge/>
          </w:tcPr>
          <w:p w:rsidR="00473A7B" w:rsidRPr="006D5D6F" w:rsidRDefault="00473A7B" w:rsidP="00EB27EF">
            <w:pPr>
              <w:jc w:val="center"/>
              <w:rPr>
                <w:rFonts w:ascii="Verdana" w:hAnsi="Verdana"/>
                <w:b/>
                <w:noProof/>
                <w:sz w:val="20"/>
                <w:szCs w:val="20"/>
              </w:rPr>
            </w:pPr>
          </w:p>
        </w:tc>
        <w:tc>
          <w:tcPr>
            <w:tcW w:w="1060" w:type="pct"/>
            <w:vMerge/>
          </w:tcPr>
          <w:p w:rsidR="00473A7B" w:rsidRPr="006D5D6F" w:rsidRDefault="00473A7B" w:rsidP="00EB27EF">
            <w:pPr>
              <w:jc w:val="both"/>
              <w:rPr>
                <w:rFonts w:ascii="Verdana" w:hAnsi="Verdana"/>
                <w:sz w:val="20"/>
                <w:szCs w:val="20"/>
              </w:rPr>
            </w:pPr>
          </w:p>
        </w:tc>
        <w:tc>
          <w:tcPr>
            <w:tcW w:w="1658" w:type="pct"/>
            <w:gridSpan w:val="2"/>
          </w:tcPr>
          <w:p w:rsidR="00473A7B" w:rsidRPr="006D5D6F" w:rsidRDefault="00473A7B" w:rsidP="00EB27EF">
            <w:pPr>
              <w:jc w:val="both"/>
              <w:rPr>
                <w:rFonts w:ascii="Verdana" w:hAnsi="Verdana"/>
                <w:noProof/>
                <w:sz w:val="20"/>
                <w:szCs w:val="20"/>
              </w:rPr>
            </w:pPr>
            <w:r w:rsidRPr="006D5D6F">
              <w:rPr>
                <w:rFonts w:ascii="Verdana" w:hAnsi="Verdana"/>
                <w:noProof/>
                <w:sz w:val="20"/>
                <w:szCs w:val="20"/>
              </w:rPr>
              <w:t xml:space="preserve">We would therefore welcome the consideration of information on the volumes, uses, exposures and risk management measures of these phthalates in articles arising from (i) </w:t>
            </w:r>
            <w:r w:rsidRPr="006D5D6F">
              <w:rPr>
                <w:rFonts w:ascii="Verdana" w:hAnsi="Verdana"/>
                <w:noProof/>
                <w:sz w:val="20"/>
                <w:szCs w:val="20"/>
              </w:rPr>
              <w:lastRenderedPageBreak/>
              <w:t xml:space="preserve">registration dossiers, (ii) substances in articles notifications and (iii) future applications for authorisation, given that 3 of the 4 phthalates are listed on Annex XIV and all four phthalates are included onto the Candidate List of SVHCs. </w:t>
            </w:r>
          </w:p>
        </w:tc>
        <w:tc>
          <w:tcPr>
            <w:tcW w:w="1047" w:type="pct"/>
          </w:tcPr>
          <w:p w:rsidR="00473A7B" w:rsidRPr="006D5D6F" w:rsidRDefault="00473A7B" w:rsidP="00EB27EF">
            <w:pPr>
              <w:jc w:val="both"/>
              <w:rPr>
                <w:rFonts w:ascii="Verdana" w:hAnsi="Verdana"/>
                <w:sz w:val="20"/>
                <w:szCs w:val="20"/>
              </w:rPr>
            </w:pPr>
            <w:r w:rsidRPr="006D5D6F">
              <w:rPr>
                <w:rFonts w:ascii="Verdana" w:hAnsi="Verdana"/>
                <w:sz w:val="20"/>
                <w:szCs w:val="20"/>
              </w:rPr>
              <w:lastRenderedPageBreak/>
              <w:t xml:space="preserve">Information from the registration dossiers have been used in the dossier; only total volumes have been </w:t>
            </w:r>
            <w:r w:rsidRPr="006D5D6F">
              <w:rPr>
                <w:rFonts w:ascii="Verdana" w:hAnsi="Verdana"/>
                <w:sz w:val="20"/>
                <w:szCs w:val="20"/>
              </w:rPr>
              <w:lastRenderedPageBreak/>
              <w:t xml:space="preserve">used as there is no information on use in single types of articles. The information received through the notification process (long time after the original dossier was submitted) has also been included in the revised BD in the list of articles either proposed to be within or out of the scope of the restriction. No applications for authorisation have yet been submitted. </w:t>
            </w:r>
          </w:p>
        </w:tc>
        <w:tc>
          <w:tcPr>
            <w:tcW w:w="1000" w:type="pct"/>
          </w:tcPr>
          <w:p w:rsidR="00473A7B" w:rsidRPr="006D5D6F" w:rsidRDefault="00473A7B" w:rsidP="00EB27EF">
            <w:pPr>
              <w:jc w:val="both"/>
              <w:rPr>
                <w:rFonts w:ascii="Verdana" w:hAnsi="Verdana"/>
                <w:b/>
                <w:sz w:val="20"/>
                <w:szCs w:val="20"/>
              </w:rPr>
            </w:pPr>
            <w:r w:rsidRPr="006D5D6F">
              <w:rPr>
                <w:rFonts w:ascii="Verdana" w:hAnsi="Verdana"/>
                <w:b/>
                <w:sz w:val="20"/>
                <w:szCs w:val="20"/>
              </w:rPr>
              <w:lastRenderedPageBreak/>
              <w:t xml:space="preserve">RAC and SEAC: </w:t>
            </w:r>
            <w:r w:rsidRPr="006D5D6F">
              <w:rPr>
                <w:rFonts w:ascii="Verdana" w:hAnsi="Verdana"/>
                <w:sz w:val="20"/>
                <w:szCs w:val="20"/>
              </w:rPr>
              <w:t>No further comments.</w:t>
            </w:r>
          </w:p>
        </w:tc>
      </w:tr>
      <w:tr w:rsidR="00473A7B" w:rsidRPr="006D5D6F" w:rsidTr="00EB27EF">
        <w:tc>
          <w:tcPr>
            <w:tcW w:w="235" w:type="pct"/>
            <w:vMerge/>
          </w:tcPr>
          <w:p w:rsidR="00473A7B" w:rsidRPr="006D5D6F" w:rsidRDefault="00473A7B" w:rsidP="00EB27EF">
            <w:pPr>
              <w:jc w:val="center"/>
              <w:rPr>
                <w:rFonts w:ascii="Verdana" w:hAnsi="Verdana"/>
                <w:b/>
                <w:noProof/>
                <w:sz w:val="20"/>
                <w:szCs w:val="20"/>
              </w:rPr>
            </w:pPr>
          </w:p>
        </w:tc>
        <w:tc>
          <w:tcPr>
            <w:tcW w:w="1060" w:type="pct"/>
            <w:vMerge/>
          </w:tcPr>
          <w:p w:rsidR="00473A7B" w:rsidRPr="006D5D6F" w:rsidRDefault="00473A7B" w:rsidP="00EB27EF">
            <w:pPr>
              <w:jc w:val="both"/>
              <w:rPr>
                <w:rFonts w:ascii="Verdana" w:hAnsi="Verdana"/>
                <w:sz w:val="20"/>
                <w:szCs w:val="20"/>
              </w:rPr>
            </w:pPr>
          </w:p>
        </w:tc>
        <w:tc>
          <w:tcPr>
            <w:tcW w:w="1658" w:type="pct"/>
            <w:gridSpan w:val="2"/>
          </w:tcPr>
          <w:p w:rsidR="00473A7B" w:rsidRPr="006D5D6F" w:rsidRDefault="00473A7B" w:rsidP="00EB27EF">
            <w:pPr>
              <w:jc w:val="both"/>
              <w:rPr>
                <w:rFonts w:ascii="Verdana" w:hAnsi="Verdana"/>
                <w:b/>
                <w:sz w:val="20"/>
                <w:szCs w:val="20"/>
              </w:rPr>
            </w:pPr>
            <w:r w:rsidRPr="006D5D6F">
              <w:rPr>
                <w:rFonts w:ascii="Verdana" w:hAnsi="Verdana"/>
                <w:noProof/>
                <w:sz w:val="20"/>
                <w:szCs w:val="20"/>
              </w:rPr>
              <w:t>A further assessment of the impact of the recent changes to parallel legislation (e.g. food contact materials; Toy Safety Directive, etc.) would be useful to in order to gain an appreciation of how other legal instruments are possibly reducing the use of these 4 phthalates generally</w:t>
            </w:r>
          </w:p>
        </w:tc>
        <w:tc>
          <w:tcPr>
            <w:tcW w:w="1047" w:type="pct"/>
          </w:tcPr>
          <w:p w:rsidR="00473A7B" w:rsidRPr="006D5D6F" w:rsidRDefault="00473A7B" w:rsidP="00EB27EF">
            <w:pPr>
              <w:jc w:val="both"/>
              <w:rPr>
                <w:rFonts w:ascii="Verdana" w:hAnsi="Verdana"/>
                <w:sz w:val="20"/>
                <w:szCs w:val="20"/>
              </w:rPr>
            </w:pPr>
            <w:r w:rsidRPr="006D5D6F">
              <w:rPr>
                <w:rFonts w:ascii="Verdana" w:hAnsi="Verdana"/>
                <w:sz w:val="20"/>
                <w:szCs w:val="20"/>
              </w:rPr>
              <w:t>This has been done to the extent possible in the BD throughout section B.</w:t>
            </w:r>
          </w:p>
        </w:tc>
        <w:tc>
          <w:tcPr>
            <w:tcW w:w="1000" w:type="pct"/>
          </w:tcPr>
          <w:p w:rsidR="00473A7B" w:rsidRPr="006D5D6F" w:rsidRDefault="00473A7B" w:rsidP="00EB27EF">
            <w:pPr>
              <w:jc w:val="both"/>
              <w:rPr>
                <w:rFonts w:ascii="Verdana" w:hAnsi="Verdana"/>
                <w:b/>
                <w:sz w:val="20"/>
                <w:szCs w:val="20"/>
              </w:rPr>
            </w:pPr>
            <w:r w:rsidRPr="006D5D6F">
              <w:rPr>
                <w:rFonts w:ascii="Verdana" w:hAnsi="Verdana"/>
                <w:b/>
                <w:sz w:val="20"/>
                <w:szCs w:val="20"/>
              </w:rPr>
              <w:t xml:space="preserve">RAC: </w:t>
            </w:r>
            <w:r w:rsidRPr="006D5D6F">
              <w:rPr>
                <w:rFonts w:ascii="Verdana" w:hAnsi="Verdana"/>
                <w:sz w:val="20"/>
                <w:szCs w:val="20"/>
              </w:rPr>
              <w:t>No further comments.</w:t>
            </w:r>
          </w:p>
        </w:tc>
      </w:tr>
      <w:tr w:rsidR="00473A7B" w:rsidRPr="006D5D6F" w:rsidTr="00EB27EF">
        <w:tc>
          <w:tcPr>
            <w:tcW w:w="235" w:type="pct"/>
            <w:vMerge/>
          </w:tcPr>
          <w:p w:rsidR="00473A7B" w:rsidRPr="006D5D6F" w:rsidRDefault="00473A7B" w:rsidP="00EB27EF">
            <w:pPr>
              <w:jc w:val="center"/>
              <w:rPr>
                <w:rFonts w:ascii="Verdana" w:hAnsi="Verdana"/>
                <w:b/>
                <w:noProof/>
                <w:sz w:val="20"/>
                <w:szCs w:val="20"/>
              </w:rPr>
            </w:pPr>
          </w:p>
        </w:tc>
        <w:tc>
          <w:tcPr>
            <w:tcW w:w="1060" w:type="pct"/>
            <w:vMerge/>
          </w:tcPr>
          <w:p w:rsidR="00473A7B" w:rsidRPr="006D5D6F" w:rsidRDefault="00473A7B" w:rsidP="00EB27EF">
            <w:pPr>
              <w:jc w:val="both"/>
              <w:rPr>
                <w:rFonts w:ascii="Verdana" w:hAnsi="Verdana"/>
                <w:sz w:val="20"/>
                <w:szCs w:val="20"/>
              </w:rPr>
            </w:pPr>
          </w:p>
        </w:tc>
        <w:tc>
          <w:tcPr>
            <w:tcW w:w="1658" w:type="pct"/>
            <w:gridSpan w:val="2"/>
          </w:tcPr>
          <w:p w:rsidR="00473A7B" w:rsidRPr="006D5D6F" w:rsidRDefault="00473A7B" w:rsidP="00EB27EF">
            <w:pPr>
              <w:jc w:val="both"/>
              <w:rPr>
                <w:rFonts w:ascii="Verdana" w:hAnsi="Verdana"/>
                <w:noProof/>
                <w:sz w:val="20"/>
                <w:szCs w:val="20"/>
              </w:rPr>
            </w:pPr>
            <w:r w:rsidRPr="006D5D6F">
              <w:rPr>
                <w:rFonts w:ascii="Verdana" w:hAnsi="Verdana"/>
                <w:noProof/>
                <w:sz w:val="20"/>
                <w:szCs w:val="20"/>
              </w:rPr>
              <w:t xml:space="preserve">Identification of potential alternative substances and techniques: </w:t>
            </w:r>
          </w:p>
          <w:p w:rsidR="00473A7B" w:rsidRPr="006D5D6F" w:rsidRDefault="00473A7B" w:rsidP="00EB27EF">
            <w:pPr>
              <w:jc w:val="both"/>
              <w:rPr>
                <w:rFonts w:ascii="Verdana" w:hAnsi="Verdana"/>
                <w:noProof/>
                <w:sz w:val="20"/>
                <w:szCs w:val="20"/>
              </w:rPr>
            </w:pPr>
            <w:r w:rsidRPr="006D5D6F">
              <w:rPr>
                <w:rFonts w:ascii="Verdana" w:hAnsi="Verdana"/>
                <w:noProof/>
                <w:sz w:val="20"/>
                <w:szCs w:val="20"/>
              </w:rPr>
              <w:t xml:space="preserve">We note that alternatives appear to be available for each of the four phthalates, but the nature of the substitution is dependent on the final article. However, even if substitution occurs, it appears that the four phthalates in question may be present as impurities at &amp;gt; 0.1% in the alternative substances, which would still </w:t>
            </w:r>
            <w:r w:rsidRPr="006D5D6F">
              <w:rPr>
                <w:rFonts w:ascii="Verdana" w:hAnsi="Verdana"/>
                <w:noProof/>
                <w:sz w:val="20"/>
                <w:szCs w:val="20"/>
              </w:rPr>
              <w:lastRenderedPageBreak/>
              <w:t xml:space="preserve">lead to a breach of the restriction. This presents great difficulties for the current proposal. </w:t>
            </w:r>
          </w:p>
        </w:tc>
        <w:tc>
          <w:tcPr>
            <w:tcW w:w="1047" w:type="pct"/>
          </w:tcPr>
          <w:p w:rsidR="00473A7B" w:rsidRPr="006D5D6F" w:rsidRDefault="00473A7B" w:rsidP="00EB27EF">
            <w:pPr>
              <w:jc w:val="both"/>
              <w:rPr>
                <w:rFonts w:ascii="Verdana" w:hAnsi="Verdana"/>
                <w:sz w:val="20"/>
                <w:szCs w:val="20"/>
              </w:rPr>
            </w:pPr>
            <w:r w:rsidRPr="006D5D6F">
              <w:rPr>
                <w:rFonts w:ascii="Verdana" w:hAnsi="Verdana"/>
                <w:sz w:val="20"/>
                <w:szCs w:val="20"/>
              </w:rPr>
              <w:lastRenderedPageBreak/>
              <w:t>We don</w:t>
            </w:r>
            <w:smartTag w:uri="urn:schemas-microsoft-com:office:smarttags" w:element="PersonName">
              <w:r w:rsidRPr="006D5D6F">
                <w:rPr>
                  <w:rFonts w:ascii="Verdana" w:hAnsi="Verdana"/>
                  <w:sz w:val="20"/>
                  <w:szCs w:val="20"/>
                </w:rPr>
                <w:t>'</w:t>
              </w:r>
            </w:smartTag>
            <w:r w:rsidRPr="006D5D6F">
              <w:rPr>
                <w:rFonts w:ascii="Verdana" w:hAnsi="Verdana"/>
                <w:sz w:val="20"/>
                <w:szCs w:val="20"/>
              </w:rPr>
              <w:t xml:space="preserve">t believe that there is a concern about impurities as the proposed limits are the same for the restriction already in place in </w:t>
            </w:r>
            <w:smartTag w:uri="urn:schemas-microsoft-com:office:smarttags" w:element="PersonName">
              <w:r w:rsidRPr="006D5D6F">
                <w:rPr>
                  <w:rFonts w:ascii="Verdana" w:hAnsi="Verdana"/>
                  <w:sz w:val="20"/>
                  <w:szCs w:val="20"/>
                </w:rPr>
                <w:t>REACH Annex XV</w:t>
              </w:r>
            </w:smartTag>
            <w:r w:rsidRPr="006D5D6F">
              <w:rPr>
                <w:rFonts w:ascii="Verdana" w:hAnsi="Verdana"/>
                <w:sz w:val="20"/>
                <w:szCs w:val="20"/>
              </w:rPr>
              <w:t xml:space="preserve">II where in many cases DINP/DIDP are used as alternatives - and no other comments received during </w:t>
            </w:r>
            <w:r w:rsidRPr="006D5D6F">
              <w:rPr>
                <w:rFonts w:ascii="Verdana" w:hAnsi="Verdana"/>
                <w:sz w:val="20"/>
                <w:szCs w:val="20"/>
              </w:rPr>
              <w:lastRenderedPageBreak/>
              <w:t>public consultation (incl. those from industrial organisations) has pointed to this as a problem.</w:t>
            </w:r>
          </w:p>
        </w:tc>
        <w:tc>
          <w:tcPr>
            <w:tcW w:w="1000" w:type="pct"/>
          </w:tcPr>
          <w:p w:rsidR="00473A7B" w:rsidRPr="006D5D6F" w:rsidRDefault="00FF0D8D" w:rsidP="0054116F">
            <w:pPr>
              <w:jc w:val="both"/>
              <w:rPr>
                <w:rFonts w:ascii="Verdana" w:hAnsi="Verdana"/>
                <w:b/>
                <w:sz w:val="20"/>
                <w:szCs w:val="20"/>
              </w:rPr>
            </w:pPr>
            <w:r>
              <w:rPr>
                <w:rFonts w:ascii="Verdana" w:hAnsi="Verdana"/>
                <w:b/>
                <w:sz w:val="20"/>
                <w:szCs w:val="20"/>
              </w:rPr>
              <w:lastRenderedPageBreak/>
              <w:t xml:space="preserve">RAC and </w:t>
            </w:r>
            <w:r w:rsidR="00473A7B" w:rsidRPr="006D5D6F">
              <w:rPr>
                <w:rFonts w:ascii="Verdana" w:hAnsi="Verdana"/>
                <w:b/>
                <w:sz w:val="20"/>
                <w:szCs w:val="20"/>
              </w:rPr>
              <w:t xml:space="preserve">SEAC: </w:t>
            </w:r>
            <w:r w:rsidR="0054116F">
              <w:rPr>
                <w:rFonts w:ascii="Verdana" w:hAnsi="Verdana"/>
                <w:sz w:val="20"/>
                <w:szCs w:val="20"/>
              </w:rPr>
              <w:t>No further comments</w:t>
            </w:r>
            <w:r>
              <w:rPr>
                <w:rFonts w:ascii="Verdana" w:hAnsi="Verdana"/>
                <w:sz w:val="20"/>
                <w:szCs w:val="20"/>
              </w:rPr>
              <w:t>.</w:t>
            </w:r>
          </w:p>
        </w:tc>
      </w:tr>
      <w:tr w:rsidR="00473A7B" w:rsidRPr="006D5D6F" w:rsidTr="00EB27EF">
        <w:tc>
          <w:tcPr>
            <w:tcW w:w="235" w:type="pct"/>
            <w:vMerge/>
          </w:tcPr>
          <w:p w:rsidR="00473A7B" w:rsidRPr="006D5D6F" w:rsidRDefault="00473A7B" w:rsidP="00EB27EF">
            <w:pPr>
              <w:jc w:val="center"/>
              <w:rPr>
                <w:rFonts w:ascii="Verdana" w:hAnsi="Verdana"/>
                <w:b/>
                <w:noProof/>
                <w:sz w:val="20"/>
                <w:szCs w:val="20"/>
              </w:rPr>
            </w:pPr>
          </w:p>
        </w:tc>
        <w:tc>
          <w:tcPr>
            <w:tcW w:w="1060" w:type="pct"/>
            <w:vMerge/>
          </w:tcPr>
          <w:p w:rsidR="00473A7B" w:rsidRPr="006D5D6F" w:rsidRDefault="00473A7B" w:rsidP="00EB27EF">
            <w:pPr>
              <w:jc w:val="both"/>
              <w:rPr>
                <w:rFonts w:ascii="Verdana" w:hAnsi="Verdana"/>
                <w:sz w:val="20"/>
                <w:szCs w:val="20"/>
              </w:rPr>
            </w:pPr>
          </w:p>
        </w:tc>
        <w:tc>
          <w:tcPr>
            <w:tcW w:w="1658" w:type="pct"/>
            <w:gridSpan w:val="2"/>
          </w:tcPr>
          <w:p w:rsidR="00473A7B" w:rsidRPr="006D5D6F" w:rsidRDefault="00473A7B" w:rsidP="00EB27EF">
            <w:pPr>
              <w:jc w:val="both"/>
              <w:rPr>
                <w:rFonts w:ascii="Verdana" w:hAnsi="Verdana"/>
                <w:noProof/>
                <w:sz w:val="20"/>
                <w:szCs w:val="20"/>
              </w:rPr>
            </w:pPr>
            <w:r w:rsidRPr="006D5D6F">
              <w:rPr>
                <w:rFonts w:ascii="Verdana" w:hAnsi="Verdana"/>
                <w:noProof/>
                <w:sz w:val="20"/>
                <w:szCs w:val="20"/>
              </w:rPr>
              <w:t>D. Justification for action on a Community-wide basis</w:t>
            </w:r>
          </w:p>
          <w:p w:rsidR="00473A7B" w:rsidRPr="006D5D6F" w:rsidRDefault="00473A7B" w:rsidP="00EB27EF">
            <w:pPr>
              <w:jc w:val="both"/>
              <w:rPr>
                <w:rFonts w:ascii="Verdana" w:hAnsi="Verdana"/>
                <w:noProof/>
                <w:sz w:val="20"/>
                <w:szCs w:val="20"/>
              </w:rPr>
            </w:pPr>
            <w:r w:rsidRPr="006D5D6F">
              <w:rPr>
                <w:rFonts w:ascii="Verdana" w:hAnsi="Verdana"/>
                <w:noProof/>
                <w:sz w:val="20"/>
                <w:szCs w:val="20"/>
              </w:rPr>
              <w:t>Taking the wide scope of the current proposal into account, we find the evidence in the current dossier, insufficient to demonstrate the need for such broad action on a Community-wide basis. Therefore, we would find it difficult to support the restriction without additional information to sufficiently demonstrate the risk. We suggest that a further assessment of the impact of the recent changes to parallel legislation needs to be undertaken. In addition we would welcome additional information and a further examination of information from the registration dossiers and substances in articles notifications.</w:t>
            </w:r>
          </w:p>
        </w:tc>
        <w:tc>
          <w:tcPr>
            <w:tcW w:w="1047" w:type="pct"/>
          </w:tcPr>
          <w:p w:rsidR="00473A7B" w:rsidRPr="006D5D6F" w:rsidRDefault="00473A7B" w:rsidP="00EB27EF">
            <w:pPr>
              <w:jc w:val="both"/>
              <w:rPr>
                <w:rFonts w:ascii="Verdana" w:hAnsi="Verdana"/>
                <w:sz w:val="20"/>
                <w:szCs w:val="20"/>
              </w:rPr>
            </w:pPr>
            <w:r w:rsidRPr="006D5D6F">
              <w:rPr>
                <w:rFonts w:ascii="Verdana" w:hAnsi="Verdana"/>
                <w:sz w:val="20"/>
                <w:szCs w:val="20"/>
              </w:rPr>
              <w:t>Please see above.</w:t>
            </w:r>
          </w:p>
        </w:tc>
        <w:tc>
          <w:tcPr>
            <w:tcW w:w="1000" w:type="pct"/>
          </w:tcPr>
          <w:p w:rsidR="00473A7B" w:rsidRPr="006D5D6F" w:rsidRDefault="00473A7B" w:rsidP="00EB27EF">
            <w:pPr>
              <w:jc w:val="both"/>
              <w:rPr>
                <w:rFonts w:ascii="Verdana" w:hAnsi="Verdana"/>
                <w:b/>
                <w:sz w:val="20"/>
                <w:szCs w:val="20"/>
              </w:rPr>
            </w:pPr>
            <w:r w:rsidRPr="006D5D6F">
              <w:rPr>
                <w:rFonts w:ascii="Verdana" w:hAnsi="Verdana"/>
                <w:b/>
                <w:sz w:val="20"/>
                <w:szCs w:val="20"/>
              </w:rPr>
              <w:t xml:space="preserve">RAC and SEAC: </w:t>
            </w:r>
            <w:r w:rsidRPr="006D5D6F">
              <w:rPr>
                <w:rFonts w:ascii="Verdana" w:hAnsi="Verdana"/>
                <w:sz w:val="20"/>
                <w:szCs w:val="20"/>
              </w:rPr>
              <w:t>We agree.</w:t>
            </w:r>
          </w:p>
        </w:tc>
      </w:tr>
      <w:tr w:rsidR="00473A7B" w:rsidRPr="006D5D6F" w:rsidTr="00EB27EF">
        <w:trPr>
          <w:trHeight w:val="2020"/>
        </w:trPr>
        <w:tc>
          <w:tcPr>
            <w:tcW w:w="235" w:type="pct"/>
            <w:vMerge/>
          </w:tcPr>
          <w:p w:rsidR="00473A7B" w:rsidRPr="006D5D6F" w:rsidRDefault="00473A7B" w:rsidP="00EB27EF">
            <w:pPr>
              <w:jc w:val="center"/>
              <w:rPr>
                <w:rFonts w:ascii="Verdana" w:hAnsi="Verdana"/>
                <w:b/>
                <w:noProof/>
                <w:sz w:val="20"/>
                <w:szCs w:val="20"/>
              </w:rPr>
            </w:pPr>
          </w:p>
        </w:tc>
        <w:tc>
          <w:tcPr>
            <w:tcW w:w="1060" w:type="pct"/>
            <w:vMerge/>
          </w:tcPr>
          <w:p w:rsidR="00473A7B" w:rsidRPr="006D5D6F" w:rsidRDefault="00473A7B" w:rsidP="00EB27EF">
            <w:pPr>
              <w:jc w:val="both"/>
              <w:rPr>
                <w:rFonts w:ascii="Verdana" w:hAnsi="Verdana"/>
                <w:sz w:val="20"/>
                <w:szCs w:val="20"/>
              </w:rPr>
            </w:pPr>
          </w:p>
        </w:tc>
        <w:tc>
          <w:tcPr>
            <w:tcW w:w="1658" w:type="pct"/>
            <w:gridSpan w:val="2"/>
          </w:tcPr>
          <w:p w:rsidR="00473A7B" w:rsidRPr="006D5D6F" w:rsidRDefault="00473A7B" w:rsidP="00EB27EF">
            <w:pPr>
              <w:jc w:val="both"/>
              <w:rPr>
                <w:rFonts w:ascii="Verdana" w:hAnsi="Verdana"/>
                <w:noProof/>
                <w:sz w:val="20"/>
                <w:szCs w:val="20"/>
              </w:rPr>
            </w:pPr>
            <w:r w:rsidRPr="006D5D6F">
              <w:rPr>
                <w:rFonts w:ascii="Verdana" w:hAnsi="Verdana"/>
                <w:noProof/>
                <w:sz w:val="20"/>
                <w:szCs w:val="20"/>
              </w:rPr>
              <w:t xml:space="preserve">Assessment of risk management options: </w:t>
            </w:r>
          </w:p>
          <w:p w:rsidR="00473A7B" w:rsidRPr="006D5D6F" w:rsidRDefault="00473A7B" w:rsidP="00EB27EF">
            <w:pPr>
              <w:jc w:val="both"/>
              <w:rPr>
                <w:rFonts w:ascii="Verdana" w:hAnsi="Verdana"/>
                <w:noProof/>
                <w:sz w:val="20"/>
                <w:szCs w:val="20"/>
              </w:rPr>
            </w:pPr>
            <w:r w:rsidRPr="006D5D6F">
              <w:rPr>
                <w:rFonts w:ascii="Verdana" w:hAnsi="Verdana"/>
                <w:noProof/>
                <w:sz w:val="20"/>
                <w:szCs w:val="20"/>
              </w:rPr>
              <w:t>On the basis of the data provided in the dossier, we find it difficult to support the restriction proposal in its current form. If evidence of the need for action at community-wide level can be more clearly demonstrated by the Dossier Submitter, then at that time, the IECA could agree that Restriction is the most appropriate risk management measure.</w:t>
            </w:r>
          </w:p>
        </w:tc>
        <w:tc>
          <w:tcPr>
            <w:tcW w:w="1047" w:type="pct"/>
          </w:tcPr>
          <w:p w:rsidR="00473A7B" w:rsidRPr="006D5D6F" w:rsidRDefault="00473A7B" w:rsidP="00EB27EF">
            <w:pPr>
              <w:jc w:val="both"/>
              <w:rPr>
                <w:rFonts w:ascii="Verdana" w:hAnsi="Verdana"/>
                <w:b/>
                <w:sz w:val="20"/>
                <w:szCs w:val="20"/>
              </w:rPr>
            </w:pPr>
          </w:p>
        </w:tc>
        <w:tc>
          <w:tcPr>
            <w:tcW w:w="1000" w:type="pct"/>
          </w:tcPr>
          <w:p w:rsidR="00473A7B" w:rsidRPr="006D5D6F" w:rsidRDefault="00473A7B" w:rsidP="00EB27EF">
            <w:pPr>
              <w:jc w:val="both"/>
              <w:rPr>
                <w:rFonts w:ascii="Verdana" w:hAnsi="Verdana"/>
                <w:b/>
                <w:sz w:val="20"/>
                <w:szCs w:val="20"/>
              </w:rPr>
            </w:pPr>
            <w:r w:rsidRPr="006D5D6F">
              <w:rPr>
                <w:rFonts w:ascii="Verdana" w:hAnsi="Verdana"/>
                <w:b/>
                <w:sz w:val="20"/>
                <w:szCs w:val="20"/>
              </w:rPr>
              <w:t xml:space="preserve">RAC and SEAC: </w:t>
            </w:r>
            <w:r w:rsidRPr="006D5D6F">
              <w:rPr>
                <w:rFonts w:ascii="Verdana" w:hAnsi="Verdana"/>
                <w:sz w:val="20"/>
                <w:szCs w:val="20"/>
              </w:rPr>
              <w:t>We agree.</w:t>
            </w:r>
          </w:p>
        </w:tc>
      </w:tr>
      <w:tr w:rsidR="00473A7B" w:rsidRPr="006D5D6F" w:rsidTr="00EB27EF">
        <w:tc>
          <w:tcPr>
            <w:tcW w:w="235" w:type="pct"/>
            <w:vMerge/>
          </w:tcPr>
          <w:p w:rsidR="00473A7B" w:rsidRPr="006D5D6F" w:rsidRDefault="00473A7B" w:rsidP="00EB27EF">
            <w:pPr>
              <w:jc w:val="center"/>
              <w:rPr>
                <w:rFonts w:ascii="Verdana" w:hAnsi="Verdana"/>
                <w:b/>
                <w:noProof/>
                <w:sz w:val="20"/>
                <w:szCs w:val="20"/>
              </w:rPr>
            </w:pPr>
          </w:p>
        </w:tc>
        <w:tc>
          <w:tcPr>
            <w:tcW w:w="1060" w:type="pct"/>
            <w:vMerge/>
          </w:tcPr>
          <w:p w:rsidR="00473A7B" w:rsidRPr="006D5D6F" w:rsidRDefault="00473A7B" w:rsidP="00EB27EF">
            <w:pPr>
              <w:jc w:val="both"/>
              <w:rPr>
                <w:rFonts w:ascii="Verdana" w:hAnsi="Verdana"/>
                <w:noProof/>
                <w:sz w:val="20"/>
                <w:szCs w:val="20"/>
              </w:rPr>
            </w:pPr>
          </w:p>
        </w:tc>
        <w:tc>
          <w:tcPr>
            <w:tcW w:w="1658" w:type="pct"/>
            <w:gridSpan w:val="2"/>
          </w:tcPr>
          <w:p w:rsidR="00473A7B" w:rsidRPr="006D5D6F" w:rsidRDefault="00473A7B" w:rsidP="00EB27EF">
            <w:pPr>
              <w:jc w:val="both"/>
              <w:rPr>
                <w:rFonts w:ascii="Verdana" w:hAnsi="Verdana"/>
                <w:noProof/>
                <w:sz w:val="20"/>
                <w:szCs w:val="20"/>
              </w:rPr>
            </w:pPr>
            <w:r w:rsidRPr="006D5D6F">
              <w:rPr>
                <w:rFonts w:ascii="Verdana" w:hAnsi="Verdana"/>
                <w:noProof/>
                <w:sz w:val="20"/>
                <w:szCs w:val="20"/>
              </w:rPr>
              <w:t xml:space="preserve">We note that the four phthalates are included on the Candidate List and as such, once imported in articles in quantities over one tonne/yr and present in concentrations greater than 0.1% w/w, the presence of these substances in articles must be notified to ECHA. Such notifications under article 7(2) may bring further information on the presence of these phthalates in imported articles. Moreover, since BBP, DEHP and DBP are included on Annex XIV; future applications for authorisation may provide further clarity on the uses of these phthalates and provide possibilities to control the risks.  </w:t>
            </w:r>
          </w:p>
        </w:tc>
        <w:tc>
          <w:tcPr>
            <w:tcW w:w="1047" w:type="pct"/>
          </w:tcPr>
          <w:p w:rsidR="00473A7B" w:rsidRPr="006D5D6F" w:rsidRDefault="00473A7B" w:rsidP="00EB27EF">
            <w:pPr>
              <w:jc w:val="both"/>
              <w:rPr>
                <w:rFonts w:ascii="Verdana" w:hAnsi="Verdana"/>
                <w:sz w:val="20"/>
                <w:szCs w:val="20"/>
              </w:rPr>
            </w:pPr>
            <w:r w:rsidRPr="006D5D6F">
              <w:rPr>
                <w:rFonts w:ascii="Verdana" w:hAnsi="Verdana"/>
                <w:sz w:val="20"/>
                <w:szCs w:val="20"/>
              </w:rPr>
              <w:t>Please see above.</w:t>
            </w:r>
          </w:p>
        </w:tc>
        <w:tc>
          <w:tcPr>
            <w:tcW w:w="1000" w:type="pct"/>
          </w:tcPr>
          <w:p w:rsidR="00473A7B" w:rsidRPr="006D5D6F" w:rsidRDefault="00FF0D8D" w:rsidP="00FF0D8D">
            <w:pPr>
              <w:jc w:val="both"/>
              <w:rPr>
                <w:rFonts w:ascii="Verdana" w:hAnsi="Verdana"/>
                <w:b/>
                <w:sz w:val="20"/>
                <w:szCs w:val="20"/>
              </w:rPr>
            </w:pPr>
            <w:r>
              <w:rPr>
                <w:rFonts w:ascii="Verdana" w:hAnsi="Verdana"/>
                <w:b/>
                <w:sz w:val="20"/>
                <w:szCs w:val="20"/>
              </w:rPr>
              <w:t xml:space="preserve">RAC: </w:t>
            </w:r>
            <w:r w:rsidRPr="00FF0D8D">
              <w:rPr>
                <w:rFonts w:ascii="Verdana" w:hAnsi="Verdana"/>
                <w:sz w:val="20"/>
                <w:szCs w:val="20"/>
              </w:rPr>
              <w:t>We agree</w:t>
            </w:r>
            <w:r>
              <w:rPr>
                <w:rFonts w:ascii="Verdana" w:hAnsi="Verdana"/>
                <w:b/>
                <w:sz w:val="20"/>
                <w:szCs w:val="20"/>
              </w:rPr>
              <w:t xml:space="preserve">. </w:t>
            </w:r>
            <w:r w:rsidRPr="00FF0D8D">
              <w:rPr>
                <w:rFonts w:ascii="Verdana" w:hAnsi="Verdana"/>
                <w:sz w:val="20"/>
                <w:szCs w:val="20"/>
              </w:rPr>
              <w:t xml:space="preserve">Information from </w:t>
            </w:r>
            <w:r>
              <w:rPr>
                <w:rFonts w:ascii="Verdana" w:hAnsi="Verdana"/>
                <w:sz w:val="20"/>
                <w:szCs w:val="20"/>
              </w:rPr>
              <w:t>n</w:t>
            </w:r>
            <w:r w:rsidRPr="00FF0D8D">
              <w:rPr>
                <w:rFonts w:ascii="Verdana" w:hAnsi="Verdana"/>
                <w:sz w:val="20"/>
                <w:szCs w:val="20"/>
              </w:rPr>
              <w:t>otifications have been taken into account, their numbers indicated that at least for DEHP a high number of articles contain concentrations of 0.1% or higher.</w:t>
            </w:r>
            <w:r>
              <w:rPr>
                <w:rFonts w:ascii="Verdana" w:hAnsi="Verdana"/>
                <w:b/>
                <w:sz w:val="20"/>
                <w:szCs w:val="20"/>
              </w:rPr>
              <w:t xml:space="preserve"> </w:t>
            </w:r>
            <w:r w:rsidRPr="00FF0D8D">
              <w:rPr>
                <w:rFonts w:ascii="Verdana" w:hAnsi="Verdana"/>
                <w:sz w:val="20"/>
                <w:szCs w:val="20"/>
              </w:rPr>
              <w:t xml:space="preserve">However no additional information on concentrations and in particular </w:t>
            </w:r>
            <w:r>
              <w:rPr>
                <w:rFonts w:ascii="Verdana" w:hAnsi="Verdana"/>
                <w:sz w:val="20"/>
                <w:szCs w:val="20"/>
              </w:rPr>
              <w:t xml:space="preserve">on </w:t>
            </w:r>
            <w:r w:rsidRPr="00FF0D8D">
              <w:rPr>
                <w:rFonts w:ascii="Verdana" w:hAnsi="Verdana"/>
                <w:sz w:val="20"/>
                <w:szCs w:val="20"/>
              </w:rPr>
              <w:t xml:space="preserve">migration </w:t>
            </w:r>
            <w:r>
              <w:rPr>
                <w:rFonts w:ascii="Verdana" w:hAnsi="Verdana"/>
                <w:sz w:val="20"/>
                <w:szCs w:val="20"/>
              </w:rPr>
              <w:t xml:space="preserve">rates </w:t>
            </w:r>
            <w:r w:rsidR="00BF7460">
              <w:rPr>
                <w:rFonts w:ascii="Verdana" w:hAnsi="Verdana"/>
                <w:sz w:val="20"/>
                <w:szCs w:val="20"/>
              </w:rPr>
              <w:t>is</w:t>
            </w:r>
            <w:r w:rsidRPr="00FF0D8D">
              <w:rPr>
                <w:rFonts w:ascii="Verdana" w:hAnsi="Verdana"/>
                <w:sz w:val="20"/>
                <w:szCs w:val="20"/>
              </w:rPr>
              <w:t xml:space="preserve"> available from notifications.</w:t>
            </w:r>
          </w:p>
        </w:tc>
      </w:tr>
      <w:tr w:rsidR="00473A7B" w:rsidRPr="006D5D6F" w:rsidTr="00EB27EF">
        <w:tc>
          <w:tcPr>
            <w:tcW w:w="235" w:type="pct"/>
            <w:vMerge/>
          </w:tcPr>
          <w:p w:rsidR="00473A7B" w:rsidRPr="006D5D6F" w:rsidRDefault="00473A7B" w:rsidP="00EB27EF">
            <w:pPr>
              <w:jc w:val="center"/>
              <w:rPr>
                <w:rFonts w:ascii="Verdana" w:hAnsi="Verdana"/>
                <w:b/>
                <w:noProof/>
                <w:sz w:val="20"/>
                <w:szCs w:val="20"/>
              </w:rPr>
            </w:pPr>
          </w:p>
        </w:tc>
        <w:tc>
          <w:tcPr>
            <w:tcW w:w="1060" w:type="pct"/>
            <w:vMerge/>
          </w:tcPr>
          <w:p w:rsidR="00473A7B" w:rsidRPr="006D5D6F" w:rsidRDefault="00473A7B" w:rsidP="00EB27EF">
            <w:pPr>
              <w:jc w:val="both"/>
              <w:rPr>
                <w:rFonts w:ascii="Verdana" w:hAnsi="Verdana"/>
                <w:noProof/>
                <w:sz w:val="20"/>
                <w:szCs w:val="20"/>
              </w:rPr>
            </w:pPr>
          </w:p>
        </w:tc>
        <w:tc>
          <w:tcPr>
            <w:tcW w:w="1658" w:type="pct"/>
            <w:gridSpan w:val="2"/>
          </w:tcPr>
          <w:p w:rsidR="00473A7B" w:rsidRPr="006D5D6F" w:rsidRDefault="00473A7B" w:rsidP="00990ADD">
            <w:pPr>
              <w:jc w:val="both"/>
              <w:rPr>
                <w:rFonts w:ascii="Verdana" w:hAnsi="Verdana"/>
                <w:b/>
                <w:sz w:val="20"/>
                <w:szCs w:val="20"/>
              </w:rPr>
            </w:pPr>
            <w:r w:rsidRPr="006D5D6F">
              <w:rPr>
                <w:rFonts w:ascii="Verdana" w:hAnsi="Verdana"/>
                <w:noProof/>
                <w:sz w:val="20"/>
                <w:szCs w:val="20"/>
              </w:rPr>
              <w:t>The submitted registration dossiers should contain further information on the uses of the four phthalates in articles.</w:t>
            </w:r>
          </w:p>
        </w:tc>
        <w:tc>
          <w:tcPr>
            <w:tcW w:w="1047" w:type="pct"/>
          </w:tcPr>
          <w:p w:rsidR="00473A7B" w:rsidRPr="006D5D6F" w:rsidRDefault="00473A7B" w:rsidP="00990ADD">
            <w:pPr>
              <w:pStyle w:val="NormalWeb"/>
              <w:spacing w:before="0" w:beforeAutospacing="0" w:after="0"/>
              <w:jc w:val="both"/>
              <w:rPr>
                <w:rStyle w:val="Strong"/>
                <w:rFonts w:ascii="Verdana" w:hAnsi="Verdana"/>
                <w:b w:val="0"/>
                <w:sz w:val="20"/>
                <w:szCs w:val="20"/>
              </w:rPr>
            </w:pPr>
            <w:r w:rsidRPr="006D5D6F">
              <w:rPr>
                <w:rStyle w:val="Strong"/>
                <w:rFonts w:ascii="Verdana" w:hAnsi="Verdana"/>
                <w:b w:val="0"/>
                <w:sz w:val="20"/>
                <w:szCs w:val="20"/>
              </w:rPr>
              <w:t>We agree, but unfortunately this is not the case.</w:t>
            </w:r>
          </w:p>
        </w:tc>
        <w:tc>
          <w:tcPr>
            <w:tcW w:w="1000" w:type="pct"/>
          </w:tcPr>
          <w:p w:rsidR="00473A7B" w:rsidRPr="006D5D6F" w:rsidRDefault="00473A7B" w:rsidP="00EB27EF">
            <w:pPr>
              <w:pStyle w:val="NormalWeb"/>
              <w:spacing w:before="0" w:beforeAutospacing="0" w:after="0"/>
              <w:rPr>
                <w:rStyle w:val="Strong"/>
                <w:rFonts w:ascii="Verdana" w:hAnsi="Verdana"/>
                <w:sz w:val="20"/>
                <w:szCs w:val="20"/>
              </w:rPr>
            </w:pPr>
          </w:p>
        </w:tc>
      </w:tr>
      <w:tr w:rsidR="00473A7B" w:rsidRPr="006D5D6F" w:rsidTr="00EB27EF">
        <w:trPr>
          <w:trHeight w:val="290"/>
        </w:trPr>
        <w:tc>
          <w:tcPr>
            <w:tcW w:w="235" w:type="pct"/>
            <w:vMerge/>
          </w:tcPr>
          <w:p w:rsidR="00473A7B" w:rsidRPr="006D5D6F" w:rsidRDefault="00473A7B" w:rsidP="00EB27EF">
            <w:pPr>
              <w:jc w:val="center"/>
              <w:rPr>
                <w:rFonts w:ascii="Verdana" w:hAnsi="Verdana"/>
                <w:b/>
                <w:noProof/>
                <w:sz w:val="20"/>
                <w:szCs w:val="20"/>
              </w:rPr>
            </w:pPr>
          </w:p>
        </w:tc>
        <w:tc>
          <w:tcPr>
            <w:tcW w:w="1060" w:type="pct"/>
            <w:vMerge/>
          </w:tcPr>
          <w:p w:rsidR="00473A7B" w:rsidRPr="006D5D6F" w:rsidRDefault="00473A7B" w:rsidP="00EB27EF">
            <w:pPr>
              <w:jc w:val="both"/>
              <w:rPr>
                <w:rFonts w:ascii="Verdana" w:hAnsi="Verdana"/>
                <w:noProof/>
                <w:sz w:val="20"/>
                <w:szCs w:val="20"/>
              </w:rPr>
            </w:pPr>
          </w:p>
        </w:tc>
        <w:tc>
          <w:tcPr>
            <w:tcW w:w="3705" w:type="pct"/>
            <w:gridSpan w:val="4"/>
          </w:tcPr>
          <w:p w:rsidR="00473A7B" w:rsidRPr="006D5D6F" w:rsidRDefault="00473A7B" w:rsidP="00990ADD">
            <w:pPr>
              <w:pStyle w:val="NormalWeb"/>
              <w:spacing w:before="0" w:beforeAutospacing="0" w:after="0"/>
              <w:jc w:val="both"/>
              <w:rPr>
                <w:rStyle w:val="Strong"/>
                <w:rFonts w:ascii="Verdana" w:hAnsi="Verdana"/>
                <w:sz w:val="20"/>
                <w:szCs w:val="20"/>
              </w:rPr>
            </w:pPr>
            <w:r w:rsidRPr="006D5D6F">
              <w:rPr>
                <w:rFonts w:ascii="Verdana" w:hAnsi="Verdana"/>
                <w:noProof/>
                <w:sz w:val="20"/>
                <w:szCs w:val="20"/>
              </w:rPr>
              <w:t>Remaining comments are addressed in Table II, H 06; 07; 10 and 11.</w:t>
            </w:r>
          </w:p>
        </w:tc>
      </w:tr>
      <w:tr w:rsidR="00473A7B" w:rsidRPr="006D5D6F" w:rsidTr="00EB27EF">
        <w:trPr>
          <w:trHeight w:val="2015"/>
        </w:trPr>
        <w:tc>
          <w:tcPr>
            <w:tcW w:w="235" w:type="pct"/>
            <w:vMerge w:val="restart"/>
          </w:tcPr>
          <w:p w:rsidR="00473A7B" w:rsidRPr="006D5D6F" w:rsidRDefault="00473A7B" w:rsidP="00EB27EF">
            <w:pPr>
              <w:jc w:val="center"/>
              <w:rPr>
                <w:rFonts w:ascii="Verdana" w:hAnsi="Verdana"/>
                <w:b/>
                <w:noProof/>
                <w:sz w:val="20"/>
                <w:szCs w:val="20"/>
              </w:rPr>
            </w:pPr>
            <w:r w:rsidRPr="006D5D6F">
              <w:rPr>
                <w:rFonts w:ascii="Verdana" w:hAnsi="Verdana"/>
                <w:b/>
                <w:noProof/>
                <w:sz w:val="20"/>
                <w:szCs w:val="20"/>
              </w:rPr>
              <w:t>149</w:t>
            </w:r>
          </w:p>
        </w:tc>
        <w:tc>
          <w:tcPr>
            <w:tcW w:w="1060" w:type="pct"/>
            <w:vMerge w:val="restart"/>
          </w:tcPr>
          <w:p w:rsidR="00473A7B" w:rsidRPr="006D5D6F" w:rsidRDefault="00473A7B" w:rsidP="00EB27EF">
            <w:pPr>
              <w:jc w:val="both"/>
              <w:rPr>
                <w:rFonts w:ascii="Verdana" w:hAnsi="Verdana"/>
                <w:noProof/>
                <w:sz w:val="20"/>
                <w:szCs w:val="20"/>
              </w:rPr>
            </w:pPr>
            <w:smartTag w:uri="urn:schemas-microsoft-com:office:smarttags" w:element="country-region">
              <w:smartTag w:uri="urn:schemas-microsoft-com:office:smarttags" w:element="place">
                <w:r w:rsidRPr="006D5D6F">
                  <w:rPr>
                    <w:rFonts w:ascii="Verdana" w:hAnsi="Verdana"/>
                    <w:noProof/>
                    <w:sz w:val="20"/>
                    <w:szCs w:val="20"/>
                  </w:rPr>
                  <w:t>United States</w:t>
                </w:r>
              </w:smartTag>
            </w:smartTag>
            <w:r w:rsidRPr="006D5D6F">
              <w:rPr>
                <w:rFonts w:ascii="Verdana" w:hAnsi="Verdana"/>
                <w:sz w:val="20"/>
                <w:szCs w:val="20"/>
              </w:rPr>
              <w:t xml:space="preserve"> / </w:t>
            </w:r>
            <w:r w:rsidRPr="006D5D6F">
              <w:rPr>
                <w:rFonts w:ascii="Verdana" w:hAnsi="Verdana"/>
                <w:noProof/>
                <w:sz w:val="20"/>
                <w:szCs w:val="20"/>
              </w:rPr>
              <w:t>Industry or trade association</w:t>
            </w:r>
            <w:r w:rsidRPr="006D5D6F">
              <w:rPr>
                <w:rFonts w:ascii="Verdana" w:hAnsi="Verdana"/>
                <w:sz w:val="20"/>
                <w:szCs w:val="20"/>
              </w:rPr>
              <w:t xml:space="preserve"> / </w:t>
            </w:r>
            <w:r w:rsidRPr="006D5D6F">
              <w:rPr>
                <w:rFonts w:ascii="Verdana" w:hAnsi="Verdana"/>
                <w:noProof/>
                <w:sz w:val="20"/>
                <w:szCs w:val="20"/>
              </w:rPr>
              <w:t xml:space="preserve">RESILIENT FLOOR COVERING INSTITUTE </w:t>
            </w:r>
          </w:p>
        </w:tc>
        <w:tc>
          <w:tcPr>
            <w:tcW w:w="1646" w:type="pct"/>
          </w:tcPr>
          <w:p w:rsidR="00473A7B" w:rsidRPr="006D5D6F" w:rsidRDefault="00473A7B" w:rsidP="00990ADD">
            <w:pPr>
              <w:jc w:val="both"/>
              <w:rPr>
                <w:rFonts w:ascii="Verdana" w:hAnsi="Verdana"/>
                <w:noProof/>
                <w:sz w:val="20"/>
                <w:szCs w:val="20"/>
              </w:rPr>
            </w:pPr>
            <w:r w:rsidRPr="006D5D6F">
              <w:rPr>
                <w:rFonts w:ascii="Verdana" w:hAnsi="Verdana"/>
                <w:noProof/>
                <w:sz w:val="20"/>
                <w:szCs w:val="20"/>
              </w:rPr>
              <w:t>The proposal also assumes that restrictions imposed on these four phthalates under the Regulation on Registration, Evaluation, Authorisation and Restriction of Chemicals (REACH) will not to significantly reduce the import of products containing substances subject to REACH authorization.</w:t>
            </w:r>
          </w:p>
        </w:tc>
        <w:tc>
          <w:tcPr>
            <w:tcW w:w="1060" w:type="pct"/>
            <w:gridSpan w:val="2"/>
          </w:tcPr>
          <w:p w:rsidR="00473A7B" w:rsidRPr="006D5D6F" w:rsidRDefault="00473A7B" w:rsidP="00990ADD">
            <w:pPr>
              <w:jc w:val="both"/>
              <w:rPr>
                <w:rFonts w:ascii="Verdana" w:hAnsi="Verdana"/>
                <w:b/>
                <w:sz w:val="20"/>
                <w:szCs w:val="20"/>
              </w:rPr>
            </w:pPr>
            <w:r w:rsidRPr="006D5D6F">
              <w:rPr>
                <w:rFonts w:ascii="Verdana" w:hAnsi="Verdana"/>
                <w:sz w:val="20"/>
                <w:szCs w:val="20"/>
              </w:rPr>
              <w:t>This seems to be a misunderstanding. All articles whether produced or imported to the EU would be affected by a restriction.</w:t>
            </w:r>
          </w:p>
        </w:tc>
        <w:tc>
          <w:tcPr>
            <w:tcW w:w="999" w:type="pct"/>
          </w:tcPr>
          <w:p w:rsidR="00473A7B" w:rsidRPr="006D5D6F" w:rsidRDefault="00473A7B" w:rsidP="00DF1F00">
            <w:pPr>
              <w:jc w:val="both"/>
              <w:rPr>
                <w:rFonts w:ascii="Verdana" w:hAnsi="Verdana"/>
                <w:b/>
                <w:sz w:val="20"/>
                <w:szCs w:val="20"/>
              </w:rPr>
            </w:pPr>
            <w:r w:rsidRPr="006D5D6F">
              <w:rPr>
                <w:rFonts w:ascii="Verdana" w:hAnsi="Verdana"/>
                <w:b/>
                <w:sz w:val="20"/>
                <w:szCs w:val="20"/>
              </w:rPr>
              <w:t>SEAC</w:t>
            </w:r>
            <w:r w:rsidRPr="006D5D6F">
              <w:rPr>
                <w:rFonts w:ascii="Verdana" w:hAnsi="Verdana"/>
                <w:sz w:val="20"/>
                <w:szCs w:val="20"/>
              </w:rPr>
              <w:t xml:space="preserve">: The proposal assumes that the authorisation </w:t>
            </w:r>
            <w:r w:rsidR="000A543B">
              <w:rPr>
                <w:rFonts w:ascii="Verdana" w:hAnsi="Verdana"/>
                <w:sz w:val="20"/>
                <w:szCs w:val="20"/>
              </w:rPr>
              <w:t xml:space="preserve">requirement, which will only apply to EU-manufactured products, </w:t>
            </w:r>
            <w:r w:rsidRPr="006D5D6F">
              <w:rPr>
                <w:rFonts w:ascii="Verdana" w:hAnsi="Verdana"/>
                <w:sz w:val="20"/>
                <w:szCs w:val="20"/>
              </w:rPr>
              <w:t>do</w:t>
            </w:r>
            <w:r w:rsidR="000A543B">
              <w:rPr>
                <w:rFonts w:ascii="Verdana" w:hAnsi="Verdana"/>
                <w:sz w:val="20"/>
                <w:szCs w:val="20"/>
              </w:rPr>
              <w:t>es</w:t>
            </w:r>
            <w:r w:rsidRPr="006D5D6F">
              <w:rPr>
                <w:rFonts w:ascii="Verdana" w:hAnsi="Verdana"/>
                <w:sz w:val="20"/>
                <w:szCs w:val="20"/>
              </w:rPr>
              <w:t xml:space="preserve"> not have a significant direct effect on imports, whereas restrictions directly affect</w:t>
            </w:r>
            <w:r w:rsidR="000A543B">
              <w:rPr>
                <w:rFonts w:ascii="Verdana" w:hAnsi="Verdana"/>
                <w:sz w:val="20"/>
                <w:szCs w:val="20"/>
              </w:rPr>
              <w:t xml:space="preserve"> both,</w:t>
            </w:r>
            <w:r w:rsidRPr="006D5D6F">
              <w:rPr>
                <w:rFonts w:ascii="Verdana" w:hAnsi="Verdana"/>
                <w:sz w:val="20"/>
                <w:szCs w:val="20"/>
              </w:rPr>
              <w:t xml:space="preserve"> import</w:t>
            </w:r>
            <w:r w:rsidR="000A543B">
              <w:rPr>
                <w:rFonts w:ascii="Verdana" w:hAnsi="Verdana"/>
                <w:sz w:val="20"/>
                <w:szCs w:val="20"/>
              </w:rPr>
              <w:t>ed and EU-manufactured products</w:t>
            </w:r>
            <w:r w:rsidRPr="006D5D6F">
              <w:rPr>
                <w:rFonts w:ascii="Verdana" w:hAnsi="Verdana"/>
                <w:sz w:val="20"/>
                <w:szCs w:val="20"/>
              </w:rPr>
              <w:t>.</w:t>
            </w:r>
          </w:p>
        </w:tc>
      </w:tr>
      <w:tr w:rsidR="00473A7B" w:rsidRPr="006D5D6F" w:rsidTr="00EB27EF">
        <w:trPr>
          <w:trHeight w:val="2555"/>
        </w:trPr>
        <w:tc>
          <w:tcPr>
            <w:tcW w:w="235" w:type="pct"/>
            <w:vMerge/>
          </w:tcPr>
          <w:p w:rsidR="00473A7B" w:rsidRPr="006D5D6F" w:rsidRDefault="00473A7B" w:rsidP="00EB27EF">
            <w:pPr>
              <w:jc w:val="center"/>
              <w:rPr>
                <w:rFonts w:ascii="Verdana" w:hAnsi="Verdana"/>
                <w:b/>
                <w:noProof/>
                <w:sz w:val="20"/>
                <w:szCs w:val="20"/>
              </w:rPr>
            </w:pPr>
          </w:p>
        </w:tc>
        <w:tc>
          <w:tcPr>
            <w:tcW w:w="1060" w:type="pct"/>
            <w:vMerge/>
          </w:tcPr>
          <w:p w:rsidR="00473A7B" w:rsidRPr="006D5D6F" w:rsidRDefault="00473A7B" w:rsidP="00EB27EF">
            <w:pPr>
              <w:jc w:val="both"/>
              <w:rPr>
                <w:rFonts w:ascii="Verdana" w:hAnsi="Verdana"/>
                <w:noProof/>
                <w:sz w:val="20"/>
                <w:szCs w:val="20"/>
              </w:rPr>
            </w:pPr>
          </w:p>
        </w:tc>
        <w:tc>
          <w:tcPr>
            <w:tcW w:w="1646" w:type="pct"/>
          </w:tcPr>
          <w:p w:rsidR="00473A7B" w:rsidRPr="006D5D6F" w:rsidRDefault="00473A7B" w:rsidP="00EB27EF">
            <w:pPr>
              <w:jc w:val="both"/>
              <w:rPr>
                <w:rFonts w:ascii="Verdana" w:hAnsi="Verdana"/>
                <w:noProof/>
                <w:sz w:val="20"/>
                <w:szCs w:val="20"/>
              </w:rPr>
            </w:pPr>
            <w:r w:rsidRPr="006D5D6F">
              <w:rPr>
                <w:rFonts w:ascii="Verdana" w:hAnsi="Verdana"/>
                <w:noProof/>
                <w:sz w:val="20"/>
                <w:szCs w:val="20"/>
              </w:rPr>
              <w:t>Given the speculative nature of the effects the Danish proposal purports to address, the potential for the precedent established by the proposal to dramatically alter the European approach to regulation, and the nascent status of the REACH authorization process, it is inappropriate to consider approval of the proposal.</w:t>
            </w:r>
          </w:p>
        </w:tc>
        <w:tc>
          <w:tcPr>
            <w:tcW w:w="1060" w:type="pct"/>
            <w:gridSpan w:val="2"/>
          </w:tcPr>
          <w:p w:rsidR="00473A7B" w:rsidRPr="006D5D6F" w:rsidRDefault="00473A7B" w:rsidP="00EB27EF">
            <w:pPr>
              <w:jc w:val="both"/>
              <w:rPr>
                <w:rFonts w:ascii="Verdana" w:hAnsi="Verdana"/>
                <w:b/>
                <w:sz w:val="20"/>
                <w:szCs w:val="20"/>
              </w:rPr>
            </w:pPr>
            <w:r w:rsidRPr="006D5D6F">
              <w:rPr>
                <w:rFonts w:ascii="Verdana" w:hAnsi="Verdana"/>
                <w:sz w:val="20"/>
                <w:szCs w:val="20"/>
              </w:rPr>
              <w:t>We do not agree. The hazard assessments of the four phthalates are based on the conclusions from the EU RAR and other accepted literature.</w:t>
            </w:r>
          </w:p>
        </w:tc>
        <w:tc>
          <w:tcPr>
            <w:tcW w:w="999" w:type="pct"/>
          </w:tcPr>
          <w:p w:rsidR="00473A7B" w:rsidRPr="006D5D6F" w:rsidRDefault="00473A7B" w:rsidP="00EB27EF">
            <w:pPr>
              <w:jc w:val="both"/>
              <w:rPr>
                <w:rFonts w:ascii="Verdana" w:hAnsi="Verdana"/>
                <w:sz w:val="20"/>
                <w:szCs w:val="20"/>
              </w:rPr>
            </w:pPr>
            <w:r w:rsidRPr="006D5D6F">
              <w:rPr>
                <w:rFonts w:ascii="Verdana" w:hAnsi="Verdana"/>
                <w:b/>
                <w:sz w:val="20"/>
                <w:szCs w:val="20"/>
              </w:rPr>
              <w:t xml:space="preserve">RAC: </w:t>
            </w:r>
            <w:r w:rsidRPr="006D5D6F">
              <w:rPr>
                <w:rFonts w:ascii="Verdana" w:hAnsi="Verdana"/>
                <w:sz w:val="20"/>
                <w:szCs w:val="20"/>
              </w:rPr>
              <w:t>The most relevant endpoint to base the combined assessment on has been extensively discussed in RAC. Decreased testosterone levels, testes toxicity and other indications of anti-androgen effects (such as decreased ano-genital distance)</w:t>
            </w:r>
            <w:r w:rsidR="00FF0D8D">
              <w:rPr>
                <w:rFonts w:ascii="Verdana" w:hAnsi="Verdana"/>
                <w:sz w:val="20"/>
                <w:szCs w:val="20"/>
              </w:rPr>
              <w:t xml:space="preserve"> were consistently</w:t>
            </w:r>
            <w:r w:rsidR="00471044">
              <w:rPr>
                <w:rFonts w:ascii="Verdana" w:hAnsi="Verdana"/>
                <w:sz w:val="20"/>
                <w:szCs w:val="20"/>
              </w:rPr>
              <w:t xml:space="preserve"> found for</w:t>
            </w:r>
            <w:r w:rsidR="00BF7460">
              <w:rPr>
                <w:rFonts w:ascii="Verdana" w:hAnsi="Verdana"/>
                <w:sz w:val="20"/>
                <w:szCs w:val="20"/>
              </w:rPr>
              <w:t xml:space="preserve"> </w:t>
            </w:r>
            <w:r w:rsidR="00FF0D8D">
              <w:rPr>
                <w:rFonts w:ascii="Verdana" w:hAnsi="Verdana"/>
                <w:sz w:val="20"/>
                <w:szCs w:val="20"/>
              </w:rPr>
              <w:t xml:space="preserve">the four phthalates </w:t>
            </w:r>
            <w:r w:rsidRPr="006D5D6F">
              <w:rPr>
                <w:rFonts w:ascii="Verdana" w:hAnsi="Verdana"/>
                <w:sz w:val="20"/>
                <w:szCs w:val="20"/>
              </w:rPr>
              <w:t>and have been used in the final risk assessment</w:t>
            </w:r>
            <w:r w:rsidR="00471044">
              <w:rPr>
                <w:rFonts w:ascii="Verdana" w:hAnsi="Verdana"/>
                <w:sz w:val="20"/>
                <w:szCs w:val="20"/>
              </w:rPr>
              <w:t xml:space="preserve"> to account for the combined risks </w:t>
            </w:r>
            <w:r w:rsidRPr="006D5D6F">
              <w:rPr>
                <w:rFonts w:ascii="Verdana" w:hAnsi="Verdana"/>
                <w:sz w:val="20"/>
                <w:szCs w:val="20"/>
              </w:rPr>
              <w:t>.</w:t>
            </w:r>
          </w:p>
        </w:tc>
      </w:tr>
      <w:tr w:rsidR="00473A7B" w:rsidRPr="006D5D6F" w:rsidTr="00EB27EF">
        <w:trPr>
          <w:trHeight w:val="593"/>
        </w:trPr>
        <w:tc>
          <w:tcPr>
            <w:tcW w:w="235" w:type="pct"/>
            <w:vMerge/>
          </w:tcPr>
          <w:p w:rsidR="00473A7B" w:rsidRPr="006D5D6F" w:rsidRDefault="00473A7B" w:rsidP="00EB27EF">
            <w:pPr>
              <w:jc w:val="center"/>
              <w:rPr>
                <w:rFonts w:ascii="Verdana" w:hAnsi="Verdana"/>
                <w:b/>
                <w:noProof/>
                <w:sz w:val="20"/>
                <w:szCs w:val="20"/>
              </w:rPr>
            </w:pPr>
          </w:p>
        </w:tc>
        <w:tc>
          <w:tcPr>
            <w:tcW w:w="1060" w:type="pct"/>
            <w:vMerge/>
          </w:tcPr>
          <w:p w:rsidR="00473A7B" w:rsidRPr="006D5D6F" w:rsidRDefault="00473A7B" w:rsidP="00EB27EF">
            <w:pPr>
              <w:jc w:val="both"/>
              <w:rPr>
                <w:rFonts w:ascii="Verdana" w:hAnsi="Verdana"/>
                <w:noProof/>
                <w:sz w:val="20"/>
                <w:szCs w:val="20"/>
              </w:rPr>
            </w:pPr>
          </w:p>
        </w:tc>
        <w:tc>
          <w:tcPr>
            <w:tcW w:w="3705" w:type="pct"/>
            <w:gridSpan w:val="4"/>
          </w:tcPr>
          <w:p w:rsidR="00473A7B" w:rsidRPr="006D5D6F" w:rsidRDefault="00473A7B" w:rsidP="00EB27EF">
            <w:pPr>
              <w:jc w:val="both"/>
              <w:rPr>
                <w:rFonts w:ascii="Verdana" w:hAnsi="Verdana"/>
                <w:b/>
                <w:sz w:val="20"/>
                <w:szCs w:val="20"/>
              </w:rPr>
            </w:pPr>
            <w:r w:rsidRPr="006D5D6F">
              <w:rPr>
                <w:rFonts w:ascii="Verdana" w:hAnsi="Verdana"/>
                <w:noProof/>
                <w:sz w:val="20"/>
                <w:szCs w:val="20"/>
              </w:rPr>
              <w:t>Remaining comments are addressed in Table II, H 04; 05; 06; 10; 12 and 15.</w:t>
            </w:r>
          </w:p>
        </w:tc>
      </w:tr>
      <w:tr w:rsidR="00473A7B" w:rsidRPr="006D5D6F" w:rsidTr="00EB27EF">
        <w:trPr>
          <w:trHeight w:val="2344"/>
        </w:trPr>
        <w:tc>
          <w:tcPr>
            <w:tcW w:w="235" w:type="pct"/>
            <w:vMerge w:val="restart"/>
          </w:tcPr>
          <w:p w:rsidR="00473A7B" w:rsidRPr="006D5D6F" w:rsidRDefault="00473A7B" w:rsidP="00EB27EF">
            <w:pPr>
              <w:jc w:val="center"/>
              <w:rPr>
                <w:rFonts w:ascii="Verdana" w:hAnsi="Verdana"/>
                <w:b/>
                <w:noProof/>
                <w:sz w:val="20"/>
                <w:szCs w:val="20"/>
              </w:rPr>
            </w:pPr>
            <w:r w:rsidRPr="006D5D6F">
              <w:rPr>
                <w:rFonts w:ascii="Verdana" w:hAnsi="Verdana"/>
                <w:b/>
                <w:noProof/>
                <w:sz w:val="20"/>
                <w:szCs w:val="20"/>
              </w:rPr>
              <w:t>148</w:t>
            </w:r>
          </w:p>
        </w:tc>
        <w:tc>
          <w:tcPr>
            <w:tcW w:w="1060" w:type="pct"/>
            <w:vMerge w:val="restart"/>
          </w:tcPr>
          <w:p w:rsidR="00473A7B" w:rsidRPr="006D5D6F" w:rsidRDefault="00473A7B" w:rsidP="00EB27EF">
            <w:pPr>
              <w:jc w:val="both"/>
              <w:rPr>
                <w:rFonts w:ascii="Verdana" w:hAnsi="Verdana"/>
                <w:noProof/>
                <w:sz w:val="20"/>
                <w:szCs w:val="20"/>
              </w:rPr>
            </w:pPr>
            <w:smartTag w:uri="urn:schemas-microsoft-com:office:smarttags" w:element="country-region">
              <w:smartTag w:uri="urn:schemas-microsoft-com:office:smarttags" w:element="place">
                <w:r w:rsidRPr="006D5D6F">
                  <w:rPr>
                    <w:rFonts w:ascii="Verdana" w:hAnsi="Verdana"/>
                    <w:noProof/>
                    <w:sz w:val="20"/>
                    <w:szCs w:val="20"/>
                  </w:rPr>
                  <w:t>United Kingdom</w:t>
                </w:r>
              </w:smartTag>
            </w:smartTag>
            <w:r w:rsidRPr="006D5D6F">
              <w:rPr>
                <w:rFonts w:ascii="Verdana" w:hAnsi="Verdana"/>
                <w:sz w:val="20"/>
                <w:szCs w:val="20"/>
              </w:rPr>
              <w:t xml:space="preserve"> / </w:t>
            </w:r>
            <w:r w:rsidRPr="006D5D6F">
              <w:rPr>
                <w:rFonts w:ascii="Verdana" w:hAnsi="Verdana"/>
                <w:noProof/>
                <w:sz w:val="20"/>
                <w:szCs w:val="20"/>
              </w:rPr>
              <w:t>International NGO</w:t>
            </w:r>
            <w:r w:rsidRPr="006D5D6F">
              <w:rPr>
                <w:rFonts w:ascii="Verdana" w:hAnsi="Verdana"/>
                <w:sz w:val="20"/>
                <w:szCs w:val="20"/>
              </w:rPr>
              <w:t xml:space="preserve"> / </w:t>
            </w:r>
            <w:r w:rsidRPr="006D5D6F">
              <w:rPr>
                <w:rFonts w:ascii="Verdana" w:hAnsi="Verdana"/>
                <w:noProof/>
                <w:sz w:val="20"/>
                <w:szCs w:val="20"/>
              </w:rPr>
              <w:t>ClientEarth</w:t>
            </w:r>
          </w:p>
        </w:tc>
        <w:tc>
          <w:tcPr>
            <w:tcW w:w="1646" w:type="pct"/>
          </w:tcPr>
          <w:p w:rsidR="00473A7B" w:rsidRPr="006D5D6F" w:rsidRDefault="00473A7B" w:rsidP="00EB27EF">
            <w:pPr>
              <w:jc w:val="both"/>
              <w:rPr>
                <w:rFonts w:ascii="Verdana" w:hAnsi="Verdana"/>
                <w:noProof/>
                <w:sz w:val="20"/>
                <w:szCs w:val="20"/>
              </w:rPr>
            </w:pPr>
            <w:r w:rsidRPr="006D5D6F">
              <w:rPr>
                <w:rFonts w:ascii="Verdana" w:hAnsi="Verdana"/>
                <w:noProof/>
                <w:sz w:val="20"/>
                <w:szCs w:val="20"/>
              </w:rPr>
              <w:t xml:space="preserve">A relatively large number of studies of the effects of DEHP on reproduction and reproductive development are included in its dossier. One key study, Christiansen et al (2010), is not described in the dossier for this compound since the studies it reports do not conform to Good Laboratory Practice (GLP) guidelines. It is, however, considered acceptable by the authors of the report and supports earlier findings. It contains key </w:t>
            </w:r>
            <w:r w:rsidRPr="006D5D6F">
              <w:rPr>
                <w:rFonts w:ascii="Verdana" w:hAnsi="Verdana"/>
                <w:noProof/>
                <w:sz w:val="20"/>
                <w:szCs w:val="20"/>
              </w:rPr>
              <w:lastRenderedPageBreak/>
              <w:t>information about the effects of DEHP on nipple retention and anogenital distance in rats, and gives a lower lowest observed adverse effect level (LOAEL) than the studies used by the EU in the determination of its LOAEL. In terms of how the compound is classified and labelled, its effects via lactation are conclusive but there are insufficient data for classification</w:t>
            </w:r>
          </w:p>
        </w:tc>
        <w:tc>
          <w:tcPr>
            <w:tcW w:w="1060" w:type="pct"/>
            <w:gridSpan w:val="2"/>
            <w:vMerge w:val="restart"/>
          </w:tcPr>
          <w:p w:rsidR="00473A7B" w:rsidRPr="006D5D6F" w:rsidRDefault="00473A7B" w:rsidP="00EB27EF">
            <w:pPr>
              <w:jc w:val="both"/>
              <w:rPr>
                <w:rFonts w:ascii="Verdana" w:hAnsi="Verdana"/>
                <w:sz w:val="20"/>
                <w:szCs w:val="20"/>
              </w:rPr>
            </w:pPr>
            <w:r w:rsidRPr="006D5D6F">
              <w:rPr>
                <w:rFonts w:ascii="Verdana" w:hAnsi="Verdana"/>
                <w:sz w:val="20"/>
                <w:szCs w:val="20"/>
              </w:rPr>
              <w:lastRenderedPageBreak/>
              <w:t xml:space="preserve">This study has now been included in the BD. Please see part B.5.5. </w:t>
            </w:r>
          </w:p>
        </w:tc>
        <w:tc>
          <w:tcPr>
            <w:tcW w:w="999" w:type="pct"/>
            <w:vMerge w:val="restart"/>
          </w:tcPr>
          <w:p w:rsidR="00473A7B" w:rsidRPr="006D5D6F" w:rsidRDefault="00473A7B" w:rsidP="00EB27EF">
            <w:pPr>
              <w:rPr>
                <w:rFonts w:ascii="Verdana" w:hAnsi="Verdana"/>
                <w:sz w:val="20"/>
                <w:szCs w:val="20"/>
                <w:highlight w:val="cyan"/>
              </w:rPr>
            </w:pPr>
            <w:r w:rsidRPr="006D5D6F">
              <w:rPr>
                <w:rFonts w:ascii="Verdana" w:hAnsi="Verdana"/>
                <w:b/>
                <w:sz w:val="20"/>
                <w:szCs w:val="20"/>
              </w:rPr>
              <w:t>RAC</w:t>
            </w:r>
            <w:r w:rsidRPr="006D5D6F">
              <w:rPr>
                <w:rFonts w:ascii="Verdana" w:hAnsi="Verdana"/>
                <w:sz w:val="20"/>
                <w:szCs w:val="20"/>
              </w:rPr>
              <w:t>: No further comments.</w:t>
            </w:r>
          </w:p>
        </w:tc>
      </w:tr>
      <w:tr w:rsidR="00473A7B" w:rsidRPr="006D5D6F" w:rsidTr="00EB27EF">
        <w:trPr>
          <w:trHeight w:val="566"/>
        </w:trPr>
        <w:tc>
          <w:tcPr>
            <w:tcW w:w="235" w:type="pct"/>
            <w:vMerge/>
          </w:tcPr>
          <w:p w:rsidR="00473A7B" w:rsidRPr="006D5D6F" w:rsidRDefault="00473A7B" w:rsidP="00EB27EF">
            <w:pPr>
              <w:jc w:val="center"/>
              <w:rPr>
                <w:rFonts w:ascii="Verdana" w:hAnsi="Verdana"/>
                <w:b/>
                <w:noProof/>
                <w:sz w:val="20"/>
                <w:szCs w:val="20"/>
              </w:rPr>
            </w:pPr>
          </w:p>
        </w:tc>
        <w:tc>
          <w:tcPr>
            <w:tcW w:w="1060" w:type="pct"/>
            <w:vMerge/>
          </w:tcPr>
          <w:p w:rsidR="00473A7B" w:rsidRPr="006D5D6F" w:rsidRDefault="00473A7B" w:rsidP="00EB27EF">
            <w:pPr>
              <w:jc w:val="both"/>
              <w:rPr>
                <w:rFonts w:ascii="Verdana" w:hAnsi="Verdana"/>
                <w:noProof/>
                <w:sz w:val="20"/>
                <w:szCs w:val="20"/>
              </w:rPr>
            </w:pPr>
          </w:p>
        </w:tc>
        <w:tc>
          <w:tcPr>
            <w:tcW w:w="1646" w:type="pct"/>
          </w:tcPr>
          <w:p w:rsidR="00473A7B" w:rsidRPr="006D5D6F" w:rsidRDefault="00473A7B" w:rsidP="00EB27EF">
            <w:pPr>
              <w:jc w:val="both"/>
              <w:rPr>
                <w:rFonts w:ascii="Verdana" w:hAnsi="Verdana"/>
                <w:noProof/>
                <w:sz w:val="20"/>
                <w:szCs w:val="20"/>
              </w:rPr>
            </w:pPr>
            <w:r w:rsidRPr="006D5D6F">
              <w:rPr>
                <w:rFonts w:ascii="Verdana" w:hAnsi="Verdana"/>
                <w:noProof/>
                <w:sz w:val="20"/>
                <w:szCs w:val="20"/>
              </w:rPr>
              <w:t>The remaining comments are addressed in Table II H 05 and 06.</w:t>
            </w:r>
          </w:p>
        </w:tc>
        <w:tc>
          <w:tcPr>
            <w:tcW w:w="1060" w:type="pct"/>
            <w:gridSpan w:val="2"/>
            <w:vMerge/>
          </w:tcPr>
          <w:p w:rsidR="00473A7B" w:rsidRPr="006D5D6F" w:rsidRDefault="00473A7B" w:rsidP="00EB27EF">
            <w:pPr>
              <w:jc w:val="both"/>
              <w:rPr>
                <w:rFonts w:ascii="Verdana" w:hAnsi="Verdana"/>
                <w:sz w:val="20"/>
                <w:szCs w:val="20"/>
              </w:rPr>
            </w:pPr>
          </w:p>
        </w:tc>
        <w:tc>
          <w:tcPr>
            <w:tcW w:w="999" w:type="pct"/>
            <w:vMerge/>
          </w:tcPr>
          <w:p w:rsidR="00473A7B" w:rsidRPr="006D5D6F" w:rsidRDefault="00473A7B" w:rsidP="00EB27EF">
            <w:pPr>
              <w:rPr>
                <w:rFonts w:ascii="Verdana" w:hAnsi="Verdana"/>
                <w:sz w:val="20"/>
                <w:szCs w:val="20"/>
                <w:highlight w:val="cyan"/>
              </w:rPr>
            </w:pPr>
          </w:p>
        </w:tc>
      </w:tr>
      <w:tr w:rsidR="00473A7B" w:rsidRPr="006D5D6F" w:rsidTr="00EB27EF">
        <w:trPr>
          <w:trHeight w:val="764"/>
        </w:trPr>
        <w:tc>
          <w:tcPr>
            <w:tcW w:w="235" w:type="pct"/>
            <w:vMerge w:val="restart"/>
          </w:tcPr>
          <w:p w:rsidR="00473A7B" w:rsidRPr="006D5D6F" w:rsidRDefault="00473A7B" w:rsidP="00EB27EF">
            <w:pPr>
              <w:jc w:val="center"/>
              <w:rPr>
                <w:rFonts w:ascii="Verdana" w:hAnsi="Verdana"/>
                <w:b/>
                <w:noProof/>
                <w:sz w:val="20"/>
                <w:szCs w:val="20"/>
              </w:rPr>
            </w:pPr>
            <w:r w:rsidRPr="006D5D6F">
              <w:rPr>
                <w:rFonts w:ascii="Verdana" w:hAnsi="Verdana"/>
                <w:b/>
                <w:noProof/>
                <w:sz w:val="20"/>
                <w:szCs w:val="20"/>
              </w:rPr>
              <w:t>142</w:t>
            </w:r>
          </w:p>
        </w:tc>
        <w:tc>
          <w:tcPr>
            <w:tcW w:w="1060" w:type="pct"/>
            <w:vMerge w:val="restart"/>
          </w:tcPr>
          <w:p w:rsidR="00473A7B" w:rsidRPr="006D5D6F" w:rsidRDefault="00473A7B" w:rsidP="00EB27EF">
            <w:pPr>
              <w:jc w:val="both"/>
              <w:rPr>
                <w:rFonts w:ascii="Verdana" w:hAnsi="Verdana"/>
                <w:noProof/>
                <w:sz w:val="20"/>
                <w:szCs w:val="20"/>
              </w:rPr>
            </w:pPr>
            <w:smartTag w:uri="urn:schemas-microsoft-com:office:smarttags" w:element="country-region">
              <w:smartTag w:uri="urn:schemas-microsoft-com:office:smarttags" w:element="place">
                <w:r w:rsidRPr="006D5D6F">
                  <w:rPr>
                    <w:rFonts w:ascii="Verdana" w:hAnsi="Verdana"/>
                    <w:noProof/>
                    <w:sz w:val="20"/>
                    <w:szCs w:val="20"/>
                  </w:rPr>
                  <w:t>Netherlands</w:t>
                </w:r>
              </w:smartTag>
            </w:smartTag>
            <w:r w:rsidRPr="006D5D6F">
              <w:rPr>
                <w:rFonts w:ascii="Verdana" w:hAnsi="Verdana"/>
                <w:sz w:val="20"/>
                <w:szCs w:val="20"/>
              </w:rPr>
              <w:t xml:space="preserve"> / </w:t>
            </w:r>
            <w:r w:rsidRPr="006D5D6F">
              <w:rPr>
                <w:rFonts w:ascii="Verdana" w:hAnsi="Verdana"/>
                <w:noProof/>
                <w:sz w:val="20"/>
                <w:szCs w:val="20"/>
              </w:rPr>
              <w:t>International NGO</w:t>
            </w:r>
            <w:r w:rsidRPr="006D5D6F">
              <w:rPr>
                <w:rFonts w:ascii="Verdana" w:hAnsi="Verdana"/>
                <w:sz w:val="20"/>
                <w:szCs w:val="20"/>
              </w:rPr>
              <w:t xml:space="preserve"> / </w:t>
            </w:r>
            <w:r w:rsidRPr="006D5D6F">
              <w:rPr>
                <w:rFonts w:ascii="Verdana" w:hAnsi="Verdana"/>
                <w:noProof/>
                <w:sz w:val="20"/>
                <w:szCs w:val="20"/>
              </w:rPr>
              <w:t>Health Care Without Harm</w:t>
            </w:r>
          </w:p>
        </w:tc>
        <w:tc>
          <w:tcPr>
            <w:tcW w:w="1646" w:type="pct"/>
          </w:tcPr>
          <w:p w:rsidR="00473A7B" w:rsidRPr="006D5D6F" w:rsidRDefault="00473A7B" w:rsidP="00EB27EF">
            <w:pPr>
              <w:jc w:val="both"/>
              <w:rPr>
                <w:rFonts w:ascii="Verdana" w:hAnsi="Verdana"/>
                <w:noProof/>
                <w:sz w:val="20"/>
                <w:szCs w:val="20"/>
              </w:rPr>
            </w:pPr>
            <w:r w:rsidRPr="006D5D6F">
              <w:rPr>
                <w:rFonts w:ascii="Verdana" w:hAnsi="Verdana"/>
                <w:noProof/>
                <w:sz w:val="20"/>
                <w:szCs w:val="20"/>
              </w:rPr>
              <w:t xml:space="preserve">We think it is important that findings of human epidemiologic studies, become part of the record. In the past few years, studies conducted in the </w:t>
            </w:r>
            <w:smartTag w:uri="urn:schemas-microsoft-com:office:smarttags" w:element="country-region">
              <w:r w:rsidRPr="006D5D6F">
                <w:rPr>
                  <w:rFonts w:ascii="Verdana" w:hAnsi="Verdana"/>
                  <w:noProof/>
                  <w:sz w:val="20"/>
                  <w:szCs w:val="20"/>
                </w:rPr>
                <w:t>US</w:t>
              </w:r>
            </w:smartTag>
            <w:r w:rsidRPr="006D5D6F">
              <w:rPr>
                <w:rFonts w:ascii="Verdana" w:hAnsi="Verdana"/>
                <w:noProof/>
                <w:sz w:val="20"/>
                <w:szCs w:val="20"/>
              </w:rPr>
              <w:t xml:space="preserve">, </w:t>
            </w:r>
            <w:smartTag w:uri="urn:schemas-microsoft-com:office:smarttags" w:element="country-region">
              <w:r w:rsidRPr="006D5D6F">
                <w:rPr>
                  <w:rFonts w:ascii="Verdana" w:hAnsi="Verdana"/>
                  <w:noProof/>
                  <w:sz w:val="20"/>
                  <w:szCs w:val="20"/>
                </w:rPr>
                <w:t>Sweden</w:t>
              </w:r>
            </w:smartTag>
            <w:r w:rsidRPr="006D5D6F">
              <w:rPr>
                <w:rFonts w:ascii="Verdana" w:hAnsi="Verdana"/>
                <w:noProof/>
                <w:sz w:val="20"/>
                <w:szCs w:val="20"/>
              </w:rPr>
              <w:t xml:space="preserve">, and </w:t>
            </w:r>
            <w:smartTag w:uri="urn:schemas-microsoft-com:office:smarttags" w:element="country-region">
              <w:smartTag w:uri="urn:schemas-microsoft-com:office:smarttags" w:element="place">
                <w:r w:rsidRPr="006D5D6F">
                  <w:rPr>
                    <w:rFonts w:ascii="Verdana" w:hAnsi="Verdana"/>
                    <w:noProof/>
                    <w:sz w:val="20"/>
                    <w:szCs w:val="20"/>
                  </w:rPr>
                  <w:t>India</w:t>
                </w:r>
              </w:smartTag>
            </w:smartTag>
            <w:r w:rsidRPr="006D5D6F">
              <w:rPr>
                <w:rFonts w:ascii="Verdana" w:hAnsi="Verdana"/>
                <w:noProof/>
                <w:sz w:val="20"/>
                <w:szCs w:val="20"/>
              </w:rPr>
              <w:t xml:space="preserve"> have examined the relationship between phthalate exposures and various measures of semen quality. Duty S, Silva M, Barr D, Brock J, et al. Phthalate exposure and human semen parameters. Epidemiology 2003a; 4, 269–277. Duty S, Singh N, Silva M, Barr D, et al</w:t>
            </w:r>
          </w:p>
        </w:tc>
        <w:tc>
          <w:tcPr>
            <w:tcW w:w="1060" w:type="pct"/>
            <w:gridSpan w:val="2"/>
            <w:vMerge w:val="restart"/>
          </w:tcPr>
          <w:p w:rsidR="00473A7B" w:rsidRPr="006D5D6F" w:rsidRDefault="00473A7B" w:rsidP="00EB27EF">
            <w:pPr>
              <w:jc w:val="both"/>
              <w:rPr>
                <w:rFonts w:ascii="Verdana" w:hAnsi="Verdana"/>
                <w:b/>
                <w:sz w:val="20"/>
                <w:szCs w:val="20"/>
              </w:rPr>
            </w:pPr>
            <w:r w:rsidRPr="00F922A6">
              <w:rPr>
                <w:rFonts w:ascii="Verdana" w:hAnsi="Verdana"/>
                <w:sz w:val="20"/>
                <w:szCs w:val="20"/>
              </w:rPr>
              <w:t>This study should be reviewed and included in the BD</w:t>
            </w:r>
            <w:r w:rsidR="00876D4C" w:rsidRPr="00F922A6">
              <w:rPr>
                <w:rFonts w:ascii="Verdana" w:hAnsi="Verdana"/>
                <w:b/>
                <w:sz w:val="20"/>
                <w:szCs w:val="20"/>
              </w:rPr>
              <w:t xml:space="preserve"> </w:t>
            </w:r>
            <w:r w:rsidR="00876D4C" w:rsidRPr="00F922A6">
              <w:rPr>
                <w:rFonts w:ascii="Verdana" w:hAnsi="Verdana"/>
                <w:sz w:val="20"/>
                <w:szCs w:val="20"/>
              </w:rPr>
              <w:t>if relevant</w:t>
            </w:r>
            <w:r w:rsidR="00876D4C" w:rsidRPr="00876D4C">
              <w:rPr>
                <w:rFonts w:ascii="Verdana" w:hAnsi="Verdana"/>
                <w:sz w:val="20"/>
                <w:szCs w:val="20"/>
              </w:rPr>
              <w:t>.</w:t>
            </w:r>
          </w:p>
        </w:tc>
        <w:tc>
          <w:tcPr>
            <w:tcW w:w="999" w:type="pct"/>
            <w:vMerge w:val="restart"/>
          </w:tcPr>
          <w:p w:rsidR="00473A7B" w:rsidRPr="006D5D6F" w:rsidRDefault="00473A7B" w:rsidP="00EB27EF">
            <w:pPr>
              <w:jc w:val="both"/>
              <w:rPr>
                <w:rFonts w:ascii="Verdana" w:hAnsi="Verdana"/>
                <w:b/>
                <w:sz w:val="20"/>
                <w:szCs w:val="20"/>
              </w:rPr>
            </w:pPr>
            <w:r w:rsidRPr="00F922A6">
              <w:rPr>
                <w:rFonts w:ascii="Verdana" w:hAnsi="Verdana"/>
                <w:sz w:val="20"/>
                <w:szCs w:val="20"/>
              </w:rPr>
              <w:t xml:space="preserve">RAC: </w:t>
            </w:r>
            <w:r w:rsidR="00876D4C" w:rsidRPr="00F922A6">
              <w:rPr>
                <w:rFonts w:ascii="Verdana" w:hAnsi="Verdana"/>
                <w:sz w:val="20"/>
                <w:szCs w:val="20"/>
              </w:rPr>
              <w:t>The study does not focus on developmental effects on the reproductive system. Authors found an association of the urinary level of the metabolite MEP</w:t>
            </w:r>
            <w:r w:rsidR="00803D39" w:rsidRPr="00F922A6">
              <w:rPr>
                <w:rFonts w:ascii="Verdana" w:hAnsi="Verdana"/>
                <w:sz w:val="20"/>
                <w:szCs w:val="20"/>
              </w:rPr>
              <w:t xml:space="preserve"> (a metabolite of diethylphthate)</w:t>
            </w:r>
            <w:r w:rsidR="00876D4C" w:rsidRPr="00F922A6">
              <w:rPr>
                <w:rFonts w:ascii="Verdana" w:hAnsi="Verdana"/>
                <w:sz w:val="20"/>
                <w:szCs w:val="20"/>
              </w:rPr>
              <w:t xml:space="preserve"> with loss of DNA integrity in a COMET assay, but no associations with urinary level of other phthalate metabolites </w:t>
            </w:r>
            <w:r w:rsidR="00803D39" w:rsidRPr="00F922A6">
              <w:rPr>
                <w:rFonts w:ascii="Verdana" w:hAnsi="Verdana"/>
                <w:sz w:val="20"/>
                <w:szCs w:val="20"/>
              </w:rPr>
              <w:t xml:space="preserve">(including those from the restriction proposal) </w:t>
            </w:r>
            <w:r w:rsidR="00876D4C" w:rsidRPr="00F922A6">
              <w:rPr>
                <w:rFonts w:ascii="Verdana" w:hAnsi="Verdana"/>
                <w:sz w:val="20"/>
                <w:szCs w:val="20"/>
              </w:rPr>
              <w:t xml:space="preserve">in semen of adult men. </w:t>
            </w:r>
            <w:r w:rsidR="00803D39" w:rsidRPr="00F922A6">
              <w:rPr>
                <w:rFonts w:ascii="Verdana" w:hAnsi="Verdana"/>
                <w:sz w:val="20"/>
                <w:szCs w:val="20"/>
              </w:rPr>
              <w:t xml:space="preserve">The study would have no impact on the outcome of the risk </w:t>
            </w:r>
            <w:r w:rsidR="00803D39" w:rsidRPr="00F922A6">
              <w:rPr>
                <w:rFonts w:ascii="Verdana" w:hAnsi="Verdana"/>
                <w:sz w:val="20"/>
                <w:szCs w:val="20"/>
              </w:rPr>
              <w:lastRenderedPageBreak/>
              <w:t xml:space="preserve">assessment (no effects on relevant metabolites from phthalates of the restriction proposal, relevant concern not addressed, co-exposure to other sperm toxicants not considered, limited numbers of individuals, single urine sample examined, no information of sampling time). </w:t>
            </w:r>
          </w:p>
        </w:tc>
      </w:tr>
      <w:tr w:rsidR="00473A7B" w:rsidRPr="006D5D6F" w:rsidTr="00EB27EF">
        <w:trPr>
          <w:trHeight w:val="638"/>
        </w:trPr>
        <w:tc>
          <w:tcPr>
            <w:tcW w:w="235" w:type="pct"/>
            <w:vMerge/>
          </w:tcPr>
          <w:p w:rsidR="00473A7B" w:rsidRPr="006D5D6F" w:rsidRDefault="00473A7B" w:rsidP="00EB27EF">
            <w:pPr>
              <w:jc w:val="center"/>
              <w:rPr>
                <w:rFonts w:ascii="Verdana" w:hAnsi="Verdana"/>
                <w:b/>
                <w:noProof/>
                <w:sz w:val="20"/>
                <w:szCs w:val="20"/>
              </w:rPr>
            </w:pPr>
          </w:p>
        </w:tc>
        <w:tc>
          <w:tcPr>
            <w:tcW w:w="1060" w:type="pct"/>
            <w:vMerge/>
          </w:tcPr>
          <w:p w:rsidR="00473A7B" w:rsidRPr="006D5D6F" w:rsidRDefault="00473A7B" w:rsidP="00EB27EF">
            <w:pPr>
              <w:jc w:val="both"/>
              <w:rPr>
                <w:rFonts w:ascii="Verdana" w:hAnsi="Verdana"/>
                <w:noProof/>
                <w:sz w:val="20"/>
                <w:szCs w:val="20"/>
              </w:rPr>
            </w:pPr>
          </w:p>
        </w:tc>
        <w:tc>
          <w:tcPr>
            <w:tcW w:w="1646" w:type="pct"/>
          </w:tcPr>
          <w:p w:rsidR="00473A7B" w:rsidRPr="006D5D6F" w:rsidRDefault="00473A7B" w:rsidP="00EB27EF">
            <w:pPr>
              <w:jc w:val="both"/>
              <w:rPr>
                <w:rFonts w:ascii="Verdana" w:hAnsi="Verdana"/>
                <w:noProof/>
                <w:sz w:val="20"/>
                <w:szCs w:val="20"/>
              </w:rPr>
            </w:pPr>
            <w:r w:rsidRPr="006D5D6F">
              <w:rPr>
                <w:rFonts w:ascii="Verdana" w:hAnsi="Verdana"/>
                <w:noProof/>
                <w:sz w:val="20"/>
                <w:szCs w:val="20"/>
              </w:rPr>
              <w:t xml:space="preserve">The remaining comments are addressed in Table II H 13. </w:t>
            </w:r>
          </w:p>
        </w:tc>
        <w:tc>
          <w:tcPr>
            <w:tcW w:w="1060" w:type="pct"/>
            <w:gridSpan w:val="2"/>
            <w:vMerge/>
          </w:tcPr>
          <w:p w:rsidR="00473A7B" w:rsidRPr="006D5D6F" w:rsidRDefault="00473A7B" w:rsidP="00EB27EF">
            <w:pPr>
              <w:jc w:val="both"/>
              <w:rPr>
                <w:rFonts w:ascii="Verdana" w:hAnsi="Verdana"/>
                <w:sz w:val="20"/>
                <w:szCs w:val="20"/>
              </w:rPr>
            </w:pPr>
          </w:p>
        </w:tc>
        <w:tc>
          <w:tcPr>
            <w:tcW w:w="999" w:type="pct"/>
            <w:vMerge/>
          </w:tcPr>
          <w:p w:rsidR="00473A7B" w:rsidRPr="006D5D6F" w:rsidRDefault="00473A7B" w:rsidP="00EB27EF">
            <w:pPr>
              <w:rPr>
                <w:rFonts w:ascii="Verdana" w:hAnsi="Verdana"/>
                <w:sz w:val="20"/>
                <w:szCs w:val="20"/>
                <w:highlight w:val="cyan"/>
              </w:rPr>
            </w:pPr>
          </w:p>
        </w:tc>
      </w:tr>
      <w:tr w:rsidR="00473A7B" w:rsidRPr="006D5D6F" w:rsidTr="00EB27EF">
        <w:trPr>
          <w:trHeight w:val="688"/>
        </w:trPr>
        <w:tc>
          <w:tcPr>
            <w:tcW w:w="235" w:type="pct"/>
            <w:vMerge w:val="restart"/>
          </w:tcPr>
          <w:p w:rsidR="00473A7B" w:rsidRPr="006D5D6F" w:rsidRDefault="00473A7B" w:rsidP="00EB27EF">
            <w:pPr>
              <w:jc w:val="center"/>
              <w:rPr>
                <w:rFonts w:ascii="Verdana" w:hAnsi="Verdana"/>
                <w:b/>
                <w:noProof/>
                <w:sz w:val="20"/>
                <w:szCs w:val="20"/>
              </w:rPr>
            </w:pPr>
            <w:r w:rsidRPr="006D5D6F">
              <w:rPr>
                <w:rFonts w:ascii="Verdana" w:hAnsi="Verdana"/>
                <w:b/>
                <w:noProof/>
                <w:sz w:val="20"/>
                <w:szCs w:val="20"/>
              </w:rPr>
              <w:t>139</w:t>
            </w:r>
          </w:p>
        </w:tc>
        <w:tc>
          <w:tcPr>
            <w:tcW w:w="1060" w:type="pct"/>
            <w:vMerge w:val="restart"/>
          </w:tcPr>
          <w:p w:rsidR="00473A7B" w:rsidRPr="006D5D6F" w:rsidRDefault="00473A7B" w:rsidP="00EB27EF">
            <w:pPr>
              <w:rPr>
                <w:rFonts w:ascii="Verdana" w:hAnsi="Verdana"/>
                <w:sz w:val="20"/>
                <w:szCs w:val="20"/>
              </w:rPr>
            </w:pPr>
            <w:r w:rsidRPr="006D5D6F">
              <w:rPr>
                <w:rFonts w:ascii="Verdana" w:hAnsi="Verdana"/>
                <w:sz w:val="20"/>
                <w:szCs w:val="20"/>
              </w:rPr>
              <w:t xml:space="preserve">/  /   </w:t>
            </w:r>
            <w:smartTag w:uri="urn:schemas-microsoft-com:office:smarttags" w:element="country-region">
              <w:smartTag w:uri="urn:schemas-microsoft-com:office:smarttags" w:element="place">
                <w:r w:rsidRPr="006D5D6F">
                  <w:rPr>
                    <w:rFonts w:ascii="Verdana" w:hAnsi="Verdana"/>
                    <w:noProof/>
                    <w:sz w:val="20"/>
                    <w:szCs w:val="20"/>
                  </w:rPr>
                  <w:t>Germany</w:t>
                </w:r>
              </w:smartTag>
            </w:smartTag>
          </w:p>
          <w:p w:rsidR="00473A7B" w:rsidRPr="006D5D6F" w:rsidRDefault="00473A7B" w:rsidP="00EB27EF">
            <w:pPr>
              <w:rPr>
                <w:rFonts w:ascii="Verdana" w:hAnsi="Verdana"/>
                <w:noProof/>
                <w:sz w:val="20"/>
                <w:szCs w:val="20"/>
              </w:rPr>
            </w:pPr>
          </w:p>
        </w:tc>
        <w:tc>
          <w:tcPr>
            <w:tcW w:w="1646" w:type="pct"/>
          </w:tcPr>
          <w:p w:rsidR="00473A7B" w:rsidRPr="006D5D6F" w:rsidRDefault="00473A7B" w:rsidP="00990ADD">
            <w:pPr>
              <w:jc w:val="both"/>
              <w:rPr>
                <w:rFonts w:ascii="Verdana" w:hAnsi="Verdana"/>
                <w:noProof/>
                <w:sz w:val="20"/>
                <w:szCs w:val="20"/>
              </w:rPr>
            </w:pPr>
            <w:r w:rsidRPr="006D5D6F">
              <w:rPr>
                <w:rFonts w:ascii="Verdana" w:hAnsi="Verdana"/>
                <w:noProof/>
                <w:sz w:val="20"/>
                <w:szCs w:val="20"/>
              </w:rPr>
              <w:t>Information on hazard and risk (B)</w:t>
            </w:r>
          </w:p>
          <w:p w:rsidR="00473A7B" w:rsidRPr="006D5D6F" w:rsidRDefault="00473A7B" w:rsidP="00990ADD">
            <w:pPr>
              <w:jc w:val="both"/>
              <w:rPr>
                <w:rFonts w:ascii="Verdana" w:hAnsi="Verdana"/>
                <w:noProof/>
                <w:sz w:val="20"/>
                <w:szCs w:val="20"/>
              </w:rPr>
            </w:pPr>
            <w:r w:rsidRPr="006D5D6F">
              <w:rPr>
                <w:rFonts w:ascii="Verdana" w:hAnsi="Verdana"/>
                <w:noProof/>
                <w:sz w:val="20"/>
                <w:szCs w:val="20"/>
              </w:rPr>
              <w:t>Studies discussed in the registrations should also be referred to in the restriction. This is true for DEHP and the study of Noriega N, Howdeshell KL, and Furr J (2009).</w:t>
            </w:r>
          </w:p>
        </w:tc>
        <w:tc>
          <w:tcPr>
            <w:tcW w:w="1060" w:type="pct"/>
            <w:gridSpan w:val="2"/>
            <w:vMerge w:val="restart"/>
          </w:tcPr>
          <w:p w:rsidR="00473A7B" w:rsidRPr="006D5D6F" w:rsidRDefault="00473A7B" w:rsidP="00990ADD">
            <w:pPr>
              <w:jc w:val="both"/>
              <w:rPr>
                <w:rFonts w:ascii="Verdana" w:hAnsi="Verdana"/>
                <w:sz w:val="20"/>
                <w:szCs w:val="20"/>
              </w:rPr>
            </w:pPr>
            <w:r w:rsidRPr="006D5D6F">
              <w:rPr>
                <w:rFonts w:ascii="Verdana" w:hAnsi="Verdana"/>
                <w:sz w:val="20"/>
                <w:szCs w:val="20"/>
              </w:rPr>
              <w:t>This study is included in the BD (part B.5.3.) but not used due to doses higher than the LOAEL.</w:t>
            </w:r>
          </w:p>
          <w:p w:rsidR="00473A7B" w:rsidRPr="006D5D6F" w:rsidRDefault="00473A7B" w:rsidP="00990ADD">
            <w:pPr>
              <w:jc w:val="both"/>
              <w:rPr>
                <w:rFonts w:ascii="Verdana" w:hAnsi="Verdana"/>
                <w:sz w:val="20"/>
                <w:szCs w:val="20"/>
              </w:rPr>
            </w:pPr>
          </w:p>
        </w:tc>
        <w:tc>
          <w:tcPr>
            <w:tcW w:w="999" w:type="pct"/>
            <w:vMerge w:val="restart"/>
          </w:tcPr>
          <w:p w:rsidR="00473A7B" w:rsidRPr="006D5D6F" w:rsidRDefault="00473A7B" w:rsidP="00EB27EF">
            <w:pPr>
              <w:jc w:val="both"/>
              <w:rPr>
                <w:rFonts w:ascii="Verdana" w:hAnsi="Verdana"/>
                <w:b/>
                <w:sz w:val="20"/>
                <w:szCs w:val="20"/>
              </w:rPr>
            </w:pPr>
            <w:r w:rsidRPr="006D5D6F">
              <w:rPr>
                <w:rFonts w:ascii="Verdana" w:hAnsi="Verdana"/>
                <w:b/>
                <w:sz w:val="20"/>
                <w:szCs w:val="20"/>
              </w:rPr>
              <w:t>RAC</w:t>
            </w:r>
            <w:r w:rsidRPr="006D5D6F">
              <w:rPr>
                <w:rFonts w:ascii="Verdana" w:hAnsi="Verdana"/>
                <w:sz w:val="20"/>
                <w:szCs w:val="20"/>
              </w:rPr>
              <w:t>: No further comments.</w:t>
            </w:r>
          </w:p>
        </w:tc>
      </w:tr>
      <w:tr w:rsidR="00473A7B" w:rsidRPr="006D5D6F" w:rsidTr="00EB27EF">
        <w:trPr>
          <w:trHeight w:val="476"/>
        </w:trPr>
        <w:tc>
          <w:tcPr>
            <w:tcW w:w="235" w:type="pct"/>
            <w:vMerge/>
          </w:tcPr>
          <w:p w:rsidR="00473A7B" w:rsidRPr="006D5D6F" w:rsidRDefault="00473A7B" w:rsidP="00EB27EF">
            <w:pPr>
              <w:jc w:val="center"/>
              <w:rPr>
                <w:rFonts w:ascii="Verdana" w:hAnsi="Verdana"/>
                <w:b/>
                <w:noProof/>
                <w:sz w:val="20"/>
                <w:szCs w:val="20"/>
              </w:rPr>
            </w:pPr>
          </w:p>
        </w:tc>
        <w:tc>
          <w:tcPr>
            <w:tcW w:w="1060" w:type="pct"/>
            <w:vMerge/>
          </w:tcPr>
          <w:p w:rsidR="00473A7B" w:rsidRPr="006D5D6F" w:rsidRDefault="00473A7B" w:rsidP="00EB27EF">
            <w:pPr>
              <w:rPr>
                <w:rFonts w:ascii="Verdana" w:hAnsi="Verdana"/>
                <w:sz w:val="20"/>
                <w:szCs w:val="20"/>
              </w:rPr>
            </w:pPr>
          </w:p>
        </w:tc>
        <w:tc>
          <w:tcPr>
            <w:tcW w:w="1646" w:type="pct"/>
          </w:tcPr>
          <w:p w:rsidR="00473A7B" w:rsidRPr="006D5D6F" w:rsidRDefault="00473A7B" w:rsidP="00990ADD">
            <w:pPr>
              <w:jc w:val="both"/>
              <w:rPr>
                <w:rFonts w:ascii="Verdana" w:hAnsi="Verdana"/>
                <w:noProof/>
                <w:sz w:val="20"/>
                <w:szCs w:val="20"/>
              </w:rPr>
            </w:pPr>
            <w:r w:rsidRPr="006D5D6F">
              <w:rPr>
                <w:rFonts w:ascii="Verdana" w:hAnsi="Verdana"/>
                <w:noProof/>
                <w:sz w:val="20"/>
                <w:szCs w:val="20"/>
              </w:rPr>
              <w:t>The remaining comments are addresed in Table II H 07; 09; 10; 11; 14 and 15.</w:t>
            </w:r>
          </w:p>
        </w:tc>
        <w:tc>
          <w:tcPr>
            <w:tcW w:w="1060" w:type="pct"/>
            <w:gridSpan w:val="2"/>
            <w:vMerge/>
          </w:tcPr>
          <w:p w:rsidR="00473A7B" w:rsidRPr="006D5D6F" w:rsidRDefault="00473A7B" w:rsidP="00990ADD">
            <w:pPr>
              <w:jc w:val="both"/>
              <w:rPr>
                <w:rFonts w:ascii="Verdana" w:hAnsi="Verdana"/>
                <w:sz w:val="20"/>
                <w:szCs w:val="20"/>
              </w:rPr>
            </w:pPr>
          </w:p>
        </w:tc>
        <w:tc>
          <w:tcPr>
            <w:tcW w:w="999" w:type="pct"/>
            <w:vMerge/>
          </w:tcPr>
          <w:p w:rsidR="00473A7B" w:rsidRPr="006D5D6F" w:rsidRDefault="00473A7B" w:rsidP="00EB27EF">
            <w:pPr>
              <w:jc w:val="both"/>
              <w:rPr>
                <w:rFonts w:ascii="Verdana" w:hAnsi="Verdana"/>
                <w:b/>
                <w:sz w:val="20"/>
                <w:szCs w:val="20"/>
              </w:rPr>
            </w:pPr>
          </w:p>
        </w:tc>
      </w:tr>
      <w:tr w:rsidR="00473A7B" w:rsidRPr="006D5D6F" w:rsidTr="00EB27EF">
        <w:trPr>
          <w:trHeight w:val="968"/>
        </w:trPr>
        <w:tc>
          <w:tcPr>
            <w:tcW w:w="235" w:type="pct"/>
            <w:vMerge w:val="restart"/>
          </w:tcPr>
          <w:p w:rsidR="00473A7B" w:rsidRPr="006D5D6F" w:rsidRDefault="00473A7B" w:rsidP="00EB27EF">
            <w:pPr>
              <w:jc w:val="center"/>
              <w:rPr>
                <w:rFonts w:ascii="Verdana" w:hAnsi="Verdana"/>
                <w:b/>
                <w:noProof/>
                <w:sz w:val="20"/>
                <w:szCs w:val="20"/>
              </w:rPr>
            </w:pPr>
            <w:r w:rsidRPr="006D5D6F">
              <w:rPr>
                <w:rFonts w:ascii="Verdana" w:hAnsi="Verdana"/>
                <w:b/>
                <w:noProof/>
                <w:sz w:val="20"/>
                <w:szCs w:val="20"/>
              </w:rPr>
              <w:t>138</w:t>
            </w:r>
          </w:p>
        </w:tc>
        <w:tc>
          <w:tcPr>
            <w:tcW w:w="1060" w:type="pct"/>
            <w:vMerge w:val="restart"/>
          </w:tcPr>
          <w:p w:rsidR="00473A7B" w:rsidRPr="006D5D6F" w:rsidRDefault="00473A7B" w:rsidP="00EB27EF">
            <w:pPr>
              <w:rPr>
                <w:rFonts w:ascii="Verdana" w:hAnsi="Verdana"/>
                <w:sz w:val="20"/>
                <w:szCs w:val="20"/>
              </w:rPr>
            </w:pPr>
            <w:smartTag w:uri="urn:schemas-microsoft-com:office:smarttags" w:element="country-region">
              <w:smartTag w:uri="urn:schemas-microsoft-com:office:smarttags" w:element="place">
                <w:r w:rsidRPr="006D5D6F">
                  <w:rPr>
                    <w:rFonts w:ascii="Verdana" w:hAnsi="Verdana"/>
                    <w:noProof/>
                    <w:sz w:val="20"/>
                    <w:szCs w:val="20"/>
                  </w:rPr>
                  <w:t>Japan</w:t>
                </w:r>
              </w:smartTag>
            </w:smartTag>
            <w:r w:rsidRPr="006D5D6F">
              <w:rPr>
                <w:rFonts w:ascii="Verdana" w:hAnsi="Verdana"/>
                <w:sz w:val="20"/>
                <w:szCs w:val="20"/>
              </w:rPr>
              <w:t xml:space="preserve"> / </w:t>
            </w:r>
            <w:r w:rsidRPr="006D5D6F">
              <w:rPr>
                <w:rFonts w:ascii="Verdana" w:hAnsi="Verdana"/>
                <w:noProof/>
                <w:sz w:val="20"/>
                <w:szCs w:val="20"/>
              </w:rPr>
              <w:t>Company</w:t>
            </w:r>
            <w:r w:rsidRPr="006D5D6F">
              <w:rPr>
                <w:rFonts w:ascii="Verdana" w:hAnsi="Verdana"/>
                <w:sz w:val="20"/>
                <w:szCs w:val="20"/>
              </w:rPr>
              <w:t xml:space="preserve"> / </w:t>
            </w:r>
            <w:r w:rsidRPr="006D5D6F">
              <w:rPr>
                <w:rFonts w:ascii="Verdana" w:hAnsi="Verdana"/>
                <w:noProof/>
                <w:sz w:val="20"/>
                <w:szCs w:val="20"/>
              </w:rPr>
              <w:t>J-Plus.Co.,Ltd</w:t>
            </w:r>
          </w:p>
          <w:p w:rsidR="00473A7B" w:rsidRPr="006D5D6F" w:rsidRDefault="00473A7B" w:rsidP="00EB27EF">
            <w:pPr>
              <w:jc w:val="both"/>
              <w:rPr>
                <w:rFonts w:ascii="Verdana" w:hAnsi="Verdana"/>
                <w:noProof/>
                <w:sz w:val="20"/>
                <w:szCs w:val="20"/>
              </w:rPr>
            </w:pPr>
          </w:p>
        </w:tc>
        <w:tc>
          <w:tcPr>
            <w:tcW w:w="1646" w:type="pct"/>
          </w:tcPr>
          <w:p w:rsidR="00473A7B" w:rsidRPr="006D5D6F" w:rsidRDefault="00473A7B" w:rsidP="00990ADD">
            <w:pPr>
              <w:jc w:val="both"/>
              <w:rPr>
                <w:rFonts w:ascii="Verdana" w:hAnsi="Verdana"/>
                <w:noProof/>
                <w:sz w:val="20"/>
                <w:szCs w:val="20"/>
              </w:rPr>
            </w:pPr>
            <w:r w:rsidRPr="006D5D6F">
              <w:rPr>
                <w:rFonts w:ascii="Verdana" w:hAnsi="Verdana"/>
                <w:noProof/>
                <w:sz w:val="20"/>
                <w:szCs w:val="20"/>
              </w:rPr>
              <w:t>Endocrine disruption</w:t>
            </w:r>
          </w:p>
          <w:p w:rsidR="00473A7B" w:rsidRPr="006D5D6F" w:rsidRDefault="00473A7B" w:rsidP="00990ADD">
            <w:pPr>
              <w:jc w:val="both"/>
              <w:rPr>
                <w:rFonts w:ascii="Verdana" w:hAnsi="Verdana"/>
                <w:noProof/>
                <w:sz w:val="20"/>
                <w:szCs w:val="20"/>
              </w:rPr>
            </w:pPr>
            <w:r w:rsidRPr="006D5D6F">
              <w:rPr>
                <w:rFonts w:ascii="Verdana" w:hAnsi="Verdana"/>
                <w:noProof/>
                <w:sz w:val="20"/>
                <w:szCs w:val="20"/>
              </w:rPr>
              <w:t>Also for “endocrine disruption,” no scientific assessment method is in place.</w:t>
            </w:r>
          </w:p>
          <w:p w:rsidR="00473A7B" w:rsidRPr="006D5D6F" w:rsidRDefault="00473A7B" w:rsidP="00990ADD">
            <w:pPr>
              <w:jc w:val="both"/>
              <w:rPr>
                <w:rFonts w:ascii="Verdana" w:hAnsi="Verdana"/>
                <w:noProof/>
                <w:sz w:val="20"/>
                <w:szCs w:val="20"/>
              </w:rPr>
            </w:pPr>
            <w:r w:rsidRPr="006D5D6F">
              <w:rPr>
                <w:rFonts w:ascii="Verdana" w:hAnsi="Verdana"/>
                <w:noProof/>
                <w:sz w:val="20"/>
                <w:szCs w:val="20"/>
              </w:rPr>
              <w:t>However, its risk assessment method is being discussed in the EU. Therefore, the problem of endocrine disruption should be reexamined at least after the discussion is completed.</w:t>
            </w:r>
          </w:p>
        </w:tc>
        <w:tc>
          <w:tcPr>
            <w:tcW w:w="1060" w:type="pct"/>
            <w:gridSpan w:val="2"/>
            <w:vMerge w:val="restart"/>
          </w:tcPr>
          <w:p w:rsidR="00473A7B" w:rsidRPr="006D5D6F" w:rsidRDefault="00473A7B" w:rsidP="00990ADD">
            <w:pPr>
              <w:jc w:val="both"/>
              <w:rPr>
                <w:rFonts w:ascii="Verdana" w:hAnsi="Verdana"/>
                <w:sz w:val="20"/>
                <w:szCs w:val="20"/>
              </w:rPr>
            </w:pPr>
            <w:r w:rsidRPr="006D5D6F">
              <w:rPr>
                <w:rFonts w:ascii="Verdana" w:hAnsi="Verdana"/>
                <w:sz w:val="20"/>
                <w:szCs w:val="20"/>
              </w:rPr>
              <w:t xml:space="preserve">Although the criteria for endocrine disruptors are under discussion, risk assessment based on alterations in reproductive end-points as performed in the present restriction proposal is a valid and well established procedure. </w:t>
            </w:r>
          </w:p>
        </w:tc>
        <w:tc>
          <w:tcPr>
            <w:tcW w:w="999" w:type="pct"/>
            <w:vMerge w:val="restart"/>
          </w:tcPr>
          <w:p w:rsidR="00473A7B" w:rsidRPr="006D5D6F" w:rsidRDefault="00473A7B" w:rsidP="00EB27EF">
            <w:pPr>
              <w:jc w:val="both"/>
              <w:rPr>
                <w:rFonts w:ascii="Verdana" w:hAnsi="Verdana"/>
                <w:b/>
                <w:sz w:val="20"/>
                <w:szCs w:val="20"/>
              </w:rPr>
            </w:pPr>
            <w:r w:rsidRPr="006D5D6F">
              <w:rPr>
                <w:rFonts w:ascii="Verdana" w:hAnsi="Verdana"/>
                <w:b/>
                <w:sz w:val="20"/>
                <w:szCs w:val="20"/>
              </w:rPr>
              <w:t>RAC</w:t>
            </w:r>
            <w:r w:rsidRPr="006D5D6F">
              <w:rPr>
                <w:rFonts w:ascii="Verdana" w:hAnsi="Verdana"/>
                <w:sz w:val="20"/>
                <w:szCs w:val="20"/>
              </w:rPr>
              <w:t>: No further comments.</w:t>
            </w:r>
          </w:p>
        </w:tc>
      </w:tr>
      <w:tr w:rsidR="00473A7B" w:rsidRPr="006D5D6F" w:rsidTr="00EB27EF">
        <w:trPr>
          <w:trHeight w:val="485"/>
        </w:trPr>
        <w:tc>
          <w:tcPr>
            <w:tcW w:w="235" w:type="pct"/>
            <w:vMerge/>
          </w:tcPr>
          <w:p w:rsidR="00473A7B" w:rsidRPr="006D5D6F" w:rsidRDefault="00473A7B" w:rsidP="00EB27EF">
            <w:pPr>
              <w:jc w:val="center"/>
              <w:rPr>
                <w:rFonts w:ascii="Verdana" w:hAnsi="Verdana"/>
                <w:b/>
                <w:noProof/>
                <w:sz w:val="20"/>
                <w:szCs w:val="20"/>
              </w:rPr>
            </w:pPr>
          </w:p>
        </w:tc>
        <w:tc>
          <w:tcPr>
            <w:tcW w:w="1060" w:type="pct"/>
            <w:vMerge/>
          </w:tcPr>
          <w:p w:rsidR="00473A7B" w:rsidRPr="006D5D6F" w:rsidRDefault="00473A7B" w:rsidP="00EB27EF">
            <w:pPr>
              <w:rPr>
                <w:rFonts w:ascii="Verdana" w:hAnsi="Verdana"/>
                <w:noProof/>
                <w:sz w:val="20"/>
                <w:szCs w:val="20"/>
              </w:rPr>
            </w:pPr>
          </w:p>
        </w:tc>
        <w:tc>
          <w:tcPr>
            <w:tcW w:w="1646" w:type="pct"/>
          </w:tcPr>
          <w:p w:rsidR="00473A7B" w:rsidRPr="006D5D6F" w:rsidRDefault="00473A7B" w:rsidP="00EB27EF">
            <w:pPr>
              <w:rPr>
                <w:rFonts w:ascii="Verdana" w:hAnsi="Verdana"/>
                <w:noProof/>
                <w:sz w:val="20"/>
                <w:szCs w:val="20"/>
                <w:highlight w:val="yellow"/>
              </w:rPr>
            </w:pPr>
            <w:r w:rsidRPr="006D5D6F">
              <w:rPr>
                <w:rFonts w:ascii="Verdana" w:hAnsi="Verdana"/>
                <w:noProof/>
                <w:sz w:val="20"/>
                <w:szCs w:val="20"/>
              </w:rPr>
              <w:t>Remaining comments are addressed in Table II, H 05; 10 and 15.</w:t>
            </w:r>
          </w:p>
        </w:tc>
        <w:tc>
          <w:tcPr>
            <w:tcW w:w="1060" w:type="pct"/>
            <w:gridSpan w:val="2"/>
            <w:vMerge/>
          </w:tcPr>
          <w:p w:rsidR="00473A7B" w:rsidRPr="006D5D6F" w:rsidRDefault="00473A7B" w:rsidP="00EB27EF">
            <w:pPr>
              <w:jc w:val="both"/>
              <w:rPr>
                <w:rFonts w:ascii="Verdana" w:hAnsi="Verdana"/>
                <w:b/>
                <w:sz w:val="20"/>
                <w:szCs w:val="20"/>
              </w:rPr>
            </w:pPr>
          </w:p>
        </w:tc>
        <w:tc>
          <w:tcPr>
            <w:tcW w:w="999" w:type="pct"/>
            <w:vMerge/>
          </w:tcPr>
          <w:p w:rsidR="00473A7B" w:rsidRPr="006D5D6F" w:rsidRDefault="00473A7B" w:rsidP="00EB27EF">
            <w:pPr>
              <w:jc w:val="both"/>
              <w:rPr>
                <w:rFonts w:ascii="Verdana" w:hAnsi="Verdana"/>
                <w:b/>
                <w:sz w:val="20"/>
                <w:szCs w:val="20"/>
              </w:rPr>
            </w:pPr>
          </w:p>
        </w:tc>
      </w:tr>
      <w:tr w:rsidR="00473A7B" w:rsidRPr="006D5D6F" w:rsidTr="00EB27EF">
        <w:trPr>
          <w:trHeight w:val="5264"/>
        </w:trPr>
        <w:tc>
          <w:tcPr>
            <w:tcW w:w="235" w:type="pct"/>
            <w:vMerge w:val="restart"/>
          </w:tcPr>
          <w:p w:rsidR="00473A7B" w:rsidRPr="006D5D6F" w:rsidRDefault="00473A7B" w:rsidP="00EB27EF">
            <w:pPr>
              <w:jc w:val="center"/>
              <w:rPr>
                <w:rFonts w:ascii="Verdana" w:hAnsi="Verdana"/>
                <w:b/>
                <w:noProof/>
                <w:sz w:val="20"/>
                <w:szCs w:val="20"/>
              </w:rPr>
            </w:pPr>
            <w:r w:rsidRPr="006D5D6F">
              <w:rPr>
                <w:rFonts w:ascii="Verdana" w:hAnsi="Verdana"/>
                <w:b/>
                <w:noProof/>
                <w:sz w:val="20"/>
                <w:szCs w:val="20"/>
              </w:rPr>
              <w:lastRenderedPageBreak/>
              <w:t>136</w:t>
            </w:r>
          </w:p>
        </w:tc>
        <w:tc>
          <w:tcPr>
            <w:tcW w:w="1060" w:type="pct"/>
            <w:vMerge w:val="restart"/>
          </w:tcPr>
          <w:p w:rsidR="00473A7B" w:rsidRPr="006D5D6F" w:rsidRDefault="00473A7B" w:rsidP="00EB27EF">
            <w:pPr>
              <w:rPr>
                <w:rFonts w:ascii="Verdana" w:hAnsi="Verdana"/>
                <w:sz w:val="20"/>
                <w:szCs w:val="20"/>
              </w:rPr>
            </w:pPr>
            <w:r w:rsidRPr="006D5D6F">
              <w:rPr>
                <w:rFonts w:ascii="Verdana" w:hAnsi="Verdana"/>
                <w:sz w:val="20"/>
                <w:szCs w:val="20"/>
              </w:rPr>
              <w:t xml:space="preserve">/  /   </w:t>
            </w:r>
            <w:smartTag w:uri="urn:schemas-microsoft-com:office:smarttags" w:element="country-region">
              <w:smartTag w:uri="urn:schemas-microsoft-com:office:smarttags" w:element="place">
                <w:r w:rsidRPr="006D5D6F">
                  <w:rPr>
                    <w:rFonts w:ascii="Verdana" w:hAnsi="Verdana"/>
                    <w:noProof/>
                    <w:sz w:val="20"/>
                    <w:szCs w:val="20"/>
                  </w:rPr>
                  <w:t>United Kingdom</w:t>
                </w:r>
              </w:smartTag>
            </w:smartTag>
          </w:p>
          <w:p w:rsidR="00473A7B" w:rsidRPr="006D5D6F" w:rsidRDefault="00473A7B" w:rsidP="00EB27EF">
            <w:pPr>
              <w:jc w:val="both"/>
              <w:rPr>
                <w:rFonts w:ascii="Verdana" w:hAnsi="Verdana"/>
                <w:noProof/>
                <w:sz w:val="20"/>
                <w:szCs w:val="20"/>
              </w:rPr>
            </w:pPr>
          </w:p>
        </w:tc>
        <w:tc>
          <w:tcPr>
            <w:tcW w:w="1646" w:type="pct"/>
          </w:tcPr>
          <w:p w:rsidR="00473A7B" w:rsidRPr="006D5D6F" w:rsidRDefault="00473A7B" w:rsidP="00990ADD">
            <w:pPr>
              <w:jc w:val="both"/>
              <w:rPr>
                <w:rFonts w:ascii="Verdana" w:hAnsi="Verdana"/>
                <w:noProof/>
                <w:sz w:val="20"/>
                <w:szCs w:val="20"/>
              </w:rPr>
            </w:pPr>
            <w:r w:rsidRPr="006D5D6F">
              <w:rPr>
                <w:rFonts w:ascii="Verdana" w:hAnsi="Verdana"/>
                <w:noProof/>
                <w:sz w:val="20"/>
                <w:szCs w:val="20"/>
              </w:rPr>
              <w:t xml:space="preserve">P. 7; “Widespread use” – It is not clear if the applications described under this heading are current uses for the 4 phthalates that are the subject of this proposal or relate to phthalates in a more general sense. On p. 12 it is stated that “the phthalates are only used as plasticisers” but the text on page 7 implies additional uses. </w:t>
            </w:r>
          </w:p>
          <w:p w:rsidR="00473A7B" w:rsidRPr="006D5D6F" w:rsidRDefault="00473A7B" w:rsidP="00990ADD">
            <w:pPr>
              <w:jc w:val="both"/>
              <w:rPr>
                <w:rFonts w:ascii="Verdana" w:hAnsi="Verdana"/>
                <w:noProof/>
                <w:sz w:val="20"/>
                <w:szCs w:val="20"/>
              </w:rPr>
            </w:pPr>
            <w:r w:rsidRPr="006D5D6F">
              <w:rPr>
                <w:rFonts w:ascii="Verdana" w:hAnsi="Verdana"/>
                <w:noProof/>
                <w:sz w:val="20"/>
                <w:szCs w:val="20"/>
              </w:rPr>
              <w:t>P. 8/9; We agree with the groups selected for exposure assessment (2 yrs, 6-7 yrs, adult) and that the risk characterisation should be based on the concept of dose addition.</w:t>
            </w:r>
          </w:p>
          <w:p w:rsidR="00473A7B" w:rsidRPr="006D5D6F" w:rsidRDefault="00473A7B" w:rsidP="00990ADD">
            <w:pPr>
              <w:jc w:val="both"/>
              <w:rPr>
                <w:rFonts w:ascii="Verdana" w:hAnsi="Verdana"/>
                <w:noProof/>
                <w:sz w:val="20"/>
                <w:szCs w:val="20"/>
              </w:rPr>
            </w:pPr>
            <w:r w:rsidRPr="006D5D6F">
              <w:rPr>
                <w:rFonts w:ascii="Verdana" w:hAnsi="Verdana"/>
                <w:noProof/>
                <w:sz w:val="20"/>
                <w:szCs w:val="20"/>
              </w:rPr>
              <w:t>P. 10; “OCs and RMMs not under control” – Since there are not enough data to assess the impact of existing measures on exposure, the basis for the conclusion that the regulatory measures taken so far in REACH and other existing legal requirements are not sufficient to reduce the total exposure to DEHP, BBP, DBP and DIHP to a safe level is not clear.</w:t>
            </w:r>
          </w:p>
        </w:tc>
        <w:tc>
          <w:tcPr>
            <w:tcW w:w="1060" w:type="pct"/>
            <w:gridSpan w:val="2"/>
          </w:tcPr>
          <w:p w:rsidR="00473A7B" w:rsidRPr="006D5D6F" w:rsidRDefault="00473A7B" w:rsidP="00990ADD">
            <w:pPr>
              <w:jc w:val="both"/>
              <w:rPr>
                <w:rFonts w:ascii="Verdana" w:hAnsi="Verdana"/>
                <w:sz w:val="20"/>
                <w:szCs w:val="20"/>
              </w:rPr>
            </w:pPr>
            <w:r w:rsidRPr="006D5D6F">
              <w:rPr>
                <w:rFonts w:ascii="Verdana" w:hAnsi="Verdana"/>
                <w:sz w:val="20"/>
                <w:szCs w:val="20"/>
              </w:rPr>
              <w:t xml:space="preserve">We thank you for the very helpful and detailed comments that have spotted some mistakes/errors. </w:t>
            </w:r>
          </w:p>
          <w:p w:rsidR="00473A7B" w:rsidRPr="006D5D6F" w:rsidRDefault="00473A7B" w:rsidP="00990ADD">
            <w:pPr>
              <w:jc w:val="both"/>
              <w:rPr>
                <w:rFonts w:ascii="Verdana" w:hAnsi="Verdana"/>
                <w:sz w:val="20"/>
                <w:szCs w:val="20"/>
              </w:rPr>
            </w:pPr>
          </w:p>
          <w:p w:rsidR="00473A7B" w:rsidRPr="006D5D6F" w:rsidRDefault="00473A7B" w:rsidP="00990ADD">
            <w:pPr>
              <w:jc w:val="both"/>
              <w:rPr>
                <w:rFonts w:ascii="Verdana" w:hAnsi="Verdana"/>
                <w:sz w:val="20"/>
                <w:szCs w:val="20"/>
              </w:rPr>
            </w:pPr>
            <w:r w:rsidRPr="00F922A6">
              <w:rPr>
                <w:rFonts w:ascii="Verdana" w:hAnsi="Verdana"/>
                <w:sz w:val="20"/>
                <w:szCs w:val="20"/>
              </w:rPr>
              <w:t>DS to update this response, in particular P7.</w:t>
            </w:r>
          </w:p>
        </w:tc>
        <w:tc>
          <w:tcPr>
            <w:tcW w:w="999" w:type="pct"/>
          </w:tcPr>
          <w:p w:rsidR="00473A7B" w:rsidRPr="006D5D6F" w:rsidRDefault="00473A7B" w:rsidP="00990ADD">
            <w:pPr>
              <w:jc w:val="both"/>
              <w:rPr>
                <w:rFonts w:ascii="Verdana" w:hAnsi="Verdana"/>
                <w:b/>
                <w:sz w:val="20"/>
                <w:szCs w:val="20"/>
              </w:rPr>
            </w:pPr>
            <w:r w:rsidRPr="006D5D6F">
              <w:rPr>
                <w:rFonts w:ascii="Verdana" w:hAnsi="Verdana"/>
                <w:sz w:val="20"/>
                <w:szCs w:val="20"/>
              </w:rPr>
              <w:t>RAC: Regarding P. 10 we agree that due to uncertainty in the risk characterisation (related both to hazard and exposure) it is difficult to conclude that present OCs and RMMs are not sufficient. This has been taken into account in the opinion.</w:t>
            </w:r>
          </w:p>
        </w:tc>
      </w:tr>
      <w:tr w:rsidR="00473A7B" w:rsidRPr="006D5D6F" w:rsidTr="00EB27EF">
        <w:trPr>
          <w:trHeight w:val="1304"/>
        </w:trPr>
        <w:tc>
          <w:tcPr>
            <w:tcW w:w="235" w:type="pct"/>
            <w:vMerge/>
          </w:tcPr>
          <w:p w:rsidR="00473A7B" w:rsidRPr="006D5D6F" w:rsidRDefault="00473A7B" w:rsidP="00EB27EF">
            <w:pPr>
              <w:jc w:val="center"/>
              <w:rPr>
                <w:rFonts w:ascii="Verdana" w:hAnsi="Verdana"/>
                <w:b/>
                <w:noProof/>
                <w:sz w:val="20"/>
                <w:szCs w:val="20"/>
              </w:rPr>
            </w:pPr>
          </w:p>
        </w:tc>
        <w:tc>
          <w:tcPr>
            <w:tcW w:w="1060" w:type="pct"/>
            <w:vMerge/>
          </w:tcPr>
          <w:p w:rsidR="00473A7B" w:rsidRPr="006D5D6F" w:rsidRDefault="00473A7B" w:rsidP="00EB27EF">
            <w:pPr>
              <w:rPr>
                <w:rFonts w:ascii="Verdana" w:hAnsi="Verdana"/>
                <w:sz w:val="20"/>
                <w:szCs w:val="20"/>
              </w:rPr>
            </w:pPr>
          </w:p>
        </w:tc>
        <w:tc>
          <w:tcPr>
            <w:tcW w:w="1646" w:type="pct"/>
          </w:tcPr>
          <w:p w:rsidR="00473A7B" w:rsidRPr="006D5D6F" w:rsidRDefault="00473A7B" w:rsidP="00990ADD">
            <w:pPr>
              <w:jc w:val="both"/>
              <w:rPr>
                <w:rFonts w:ascii="Verdana" w:hAnsi="Verdana"/>
                <w:noProof/>
                <w:sz w:val="20"/>
                <w:szCs w:val="20"/>
              </w:rPr>
            </w:pPr>
            <w:r w:rsidRPr="006D5D6F">
              <w:rPr>
                <w:rFonts w:ascii="Verdana" w:hAnsi="Verdana"/>
                <w:noProof/>
                <w:sz w:val="20"/>
                <w:szCs w:val="20"/>
              </w:rPr>
              <w:t>B.7 Environmental hazard assessment</w:t>
            </w:r>
          </w:p>
          <w:p w:rsidR="00473A7B" w:rsidRPr="006D5D6F" w:rsidRDefault="00473A7B" w:rsidP="00990ADD">
            <w:pPr>
              <w:jc w:val="both"/>
              <w:rPr>
                <w:rFonts w:ascii="Verdana" w:hAnsi="Verdana"/>
                <w:noProof/>
                <w:sz w:val="20"/>
                <w:szCs w:val="20"/>
              </w:rPr>
            </w:pPr>
            <w:r w:rsidRPr="006D5D6F">
              <w:rPr>
                <w:rFonts w:ascii="Verdana" w:hAnsi="Verdana"/>
                <w:noProof/>
                <w:sz w:val="20"/>
                <w:szCs w:val="20"/>
              </w:rPr>
              <w:t>We note that in the dossier the statement “not relevant” has been inserted in this section however, information on the environmental hazards of the 4 phthalates summarised from the EU risk assessment reports is presented in section C.14. We have made comments here.</w:t>
            </w:r>
          </w:p>
          <w:p w:rsidR="00473A7B" w:rsidRPr="006D5D6F" w:rsidRDefault="00473A7B" w:rsidP="00990ADD">
            <w:pPr>
              <w:jc w:val="both"/>
              <w:rPr>
                <w:rFonts w:ascii="Verdana" w:hAnsi="Verdana"/>
                <w:noProof/>
                <w:sz w:val="20"/>
                <w:szCs w:val="20"/>
              </w:rPr>
            </w:pPr>
            <w:r w:rsidRPr="006D5D6F">
              <w:rPr>
                <w:rFonts w:ascii="Verdana" w:hAnsi="Verdana"/>
                <w:noProof/>
                <w:sz w:val="20"/>
                <w:szCs w:val="20"/>
              </w:rPr>
              <w:lastRenderedPageBreak/>
              <w:t>The environmental hazard assessment of the four phthalates has been conducted adequately based on the available data. BBP and DBP are both classified for the environment based on high acute toxicity to aquatic organisms; additionally BBP is classified based on chronic toxicity. DEHP, which constitutes the greatest use of the four, showed no effects in tests, although observed effects in chronic daphnia studies may be open to interpretation.</w:t>
            </w:r>
          </w:p>
          <w:p w:rsidR="00473A7B" w:rsidRPr="006D5D6F" w:rsidRDefault="00473A7B" w:rsidP="00990ADD">
            <w:pPr>
              <w:jc w:val="both"/>
              <w:rPr>
                <w:rFonts w:ascii="Verdana" w:hAnsi="Verdana"/>
                <w:noProof/>
                <w:sz w:val="20"/>
                <w:szCs w:val="20"/>
              </w:rPr>
            </w:pPr>
            <w:r w:rsidRPr="006D5D6F">
              <w:rPr>
                <w:rFonts w:ascii="Verdana" w:hAnsi="Verdana"/>
                <w:noProof/>
                <w:sz w:val="20"/>
                <w:szCs w:val="20"/>
              </w:rPr>
              <w:t>The section (p.236 – 241) might be improved by using a Klimisch-type scoring approach. The issues hang around the observance of possible effects around the substance’s limit of water solubility. It could be similarly argued that the number of substances showing effects but with equivocal evidence for physical fouling could lead to the conclusion that “conventional” toxic effects are occurring around the water solubility limit (as proposed in the second bullet on page 240). This alternative conclusion might have implications for environmental classification.</w:t>
            </w:r>
          </w:p>
          <w:p w:rsidR="00473A7B" w:rsidRPr="006D5D6F" w:rsidRDefault="00473A7B" w:rsidP="00990ADD">
            <w:pPr>
              <w:jc w:val="both"/>
              <w:rPr>
                <w:rFonts w:ascii="Verdana" w:hAnsi="Verdana"/>
                <w:noProof/>
                <w:sz w:val="20"/>
                <w:szCs w:val="20"/>
              </w:rPr>
            </w:pPr>
            <w:r w:rsidRPr="006D5D6F">
              <w:rPr>
                <w:rFonts w:ascii="Verdana" w:hAnsi="Verdana"/>
                <w:noProof/>
                <w:sz w:val="20"/>
                <w:szCs w:val="20"/>
              </w:rPr>
              <w:t>Other comments on the environmental assessment of the 4 phthalates;</w:t>
            </w:r>
          </w:p>
        </w:tc>
        <w:tc>
          <w:tcPr>
            <w:tcW w:w="1060" w:type="pct"/>
            <w:gridSpan w:val="2"/>
          </w:tcPr>
          <w:p w:rsidR="00473A7B" w:rsidRPr="006D5D6F" w:rsidRDefault="00473A7B" w:rsidP="00990ADD">
            <w:pPr>
              <w:jc w:val="both"/>
              <w:rPr>
                <w:rFonts w:ascii="Verdana" w:hAnsi="Verdana"/>
                <w:sz w:val="20"/>
                <w:szCs w:val="20"/>
              </w:rPr>
            </w:pPr>
            <w:r w:rsidRPr="006D5D6F">
              <w:rPr>
                <w:rFonts w:ascii="Verdana" w:hAnsi="Verdana"/>
                <w:sz w:val="20"/>
                <w:szCs w:val="20"/>
              </w:rPr>
              <w:lastRenderedPageBreak/>
              <w:t xml:space="preserve">As a consequence of the targeting of the dossier environmental risks were not considered relevant for part B. They were however found to be relevant for the comparison of substances to </w:t>
            </w:r>
            <w:r w:rsidRPr="006D5D6F">
              <w:rPr>
                <w:rFonts w:ascii="Verdana" w:hAnsi="Verdana"/>
                <w:sz w:val="20"/>
                <w:szCs w:val="20"/>
              </w:rPr>
              <w:lastRenderedPageBreak/>
              <w:t xml:space="preserve">be banned with possible alternatives. </w:t>
            </w:r>
          </w:p>
          <w:p w:rsidR="00473A7B" w:rsidRPr="006D5D6F" w:rsidRDefault="00473A7B" w:rsidP="00990ADD">
            <w:pPr>
              <w:jc w:val="both"/>
              <w:rPr>
                <w:rFonts w:ascii="Verdana" w:hAnsi="Verdana"/>
                <w:sz w:val="20"/>
                <w:szCs w:val="20"/>
              </w:rPr>
            </w:pPr>
          </w:p>
          <w:p w:rsidR="00473A7B" w:rsidRPr="006D5D6F" w:rsidRDefault="00473A7B" w:rsidP="00990ADD">
            <w:pPr>
              <w:jc w:val="both"/>
              <w:rPr>
                <w:rFonts w:ascii="Verdana" w:hAnsi="Verdana"/>
                <w:sz w:val="20"/>
                <w:szCs w:val="20"/>
              </w:rPr>
            </w:pPr>
          </w:p>
          <w:p w:rsidR="00473A7B" w:rsidRPr="006D5D6F" w:rsidRDefault="00473A7B" w:rsidP="00990ADD">
            <w:pPr>
              <w:jc w:val="both"/>
              <w:rPr>
                <w:rFonts w:ascii="Verdana" w:hAnsi="Verdana"/>
                <w:sz w:val="20"/>
                <w:szCs w:val="20"/>
              </w:rPr>
            </w:pPr>
          </w:p>
          <w:p w:rsidR="00473A7B" w:rsidRPr="006D5D6F" w:rsidRDefault="00473A7B" w:rsidP="00990ADD">
            <w:pPr>
              <w:jc w:val="both"/>
              <w:rPr>
                <w:rFonts w:ascii="Verdana" w:hAnsi="Verdana"/>
                <w:sz w:val="20"/>
                <w:szCs w:val="20"/>
              </w:rPr>
            </w:pPr>
          </w:p>
          <w:p w:rsidR="00473A7B" w:rsidRPr="006D5D6F" w:rsidRDefault="00473A7B" w:rsidP="00990ADD">
            <w:pPr>
              <w:jc w:val="both"/>
              <w:rPr>
                <w:rFonts w:ascii="Verdana" w:hAnsi="Verdana"/>
                <w:sz w:val="20"/>
                <w:szCs w:val="20"/>
              </w:rPr>
            </w:pPr>
            <w:r w:rsidRPr="00F922A6">
              <w:rPr>
                <w:rFonts w:ascii="Verdana" w:hAnsi="Verdana"/>
                <w:sz w:val="20"/>
                <w:szCs w:val="20"/>
              </w:rPr>
              <w:t>DS to respond to the following detailed comments.</w:t>
            </w:r>
          </w:p>
          <w:p w:rsidR="00473A7B" w:rsidRPr="006D5D6F" w:rsidRDefault="00473A7B" w:rsidP="00990ADD">
            <w:pPr>
              <w:jc w:val="both"/>
              <w:rPr>
                <w:rFonts w:ascii="Verdana" w:hAnsi="Verdana"/>
                <w:sz w:val="20"/>
                <w:szCs w:val="20"/>
              </w:rPr>
            </w:pPr>
          </w:p>
          <w:p w:rsidR="00473A7B" w:rsidRPr="006D5D6F" w:rsidRDefault="00473A7B" w:rsidP="00990ADD">
            <w:pPr>
              <w:jc w:val="both"/>
              <w:rPr>
                <w:rFonts w:ascii="Verdana" w:hAnsi="Verdana"/>
                <w:sz w:val="20"/>
                <w:szCs w:val="20"/>
              </w:rPr>
            </w:pPr>
          </w:p>
          <w:p w:rsidR="00473A7B" w:rsidRPr="006D5D6F" w:rsidRDefault="00473A7B" w:rsidP="00990ADD">
            <w:pPr>
              <w:jc w:val="both"/>
              <w:rPr>
                <w:rFonts w:ascii="Verdana" w:hAnsi="Verdana"/>
                <w:sz w:val="20"/>
                <w:szCs w:val="20"/>
              </w:rPr>
            </w:pPr>
          </w:p>
          <w:p w:rsidR="00473A7B" w:rsidRPr="006D5D6F" w:rsidRDefault="00473A7B" w:rsidP="00990ADD">
            <w:pPr>
              <w:jc w:val="both"/>
              <w:rPr>
                <w:rFonts w:ascii="Verdana" w:hAnsi="Verdana"/>
                <w:sz w:val="20"/>
                <w:szCs w:val="20"/>
              </w:rPr>
            </w:pPr>
            <w:r w:rsidRPr="006D5D6F">
              <w:rPr>
                <w:rFonts w:ascii="Verdana" w:hAnsi="Verdana"/>
                <w:sz w:val="20"/>
                <w:szCs w:val="20"/>
              </w:rPr>
              <w:t xml:space="preserve">Environmental effects have been addressed in a proper way given the available data and existing classification; this is not a classification dossier – and the cmments given below are very detailed and do not change anything in the conclusions – and since the requests from ARC/SEAC have been very comprehensive we have chosen to use our working hours for the important issues; but if we find time before the finalisation of the BD, we will include these </w:t>
            </w:r>
            <w:r w:rsidRPr="006D5D6F">
              <w:rPr>
                <w:rFonts w:ascii="Verdana" w:hAnsi="Verdana"/>
                <w:sz w:val="20"/>
                <w:szCs w:val="20"/>
              </w:rPr>
              <w:lastRenderedPageBreak/>
              <w:t>minor adjustments of the text.</w:t>
            </w:r>
          </w:p>
        </w:tc>
        <w:tc>
          <w:tcPr>
            <w:tcW w:w="999" w:type="pct"/>
          </w:tcPr>
          <w:p w:rsidR="00473A7B" w:rsidRDefault="00473A7B" w:rsidP="00990ADD">
            <w:pPr>
              <w:jc w:val="both"/>
              <w:rPr>
                <w:rFonts w:ascii="Verdana" w:hAnsi="Verdana"/>
                <w:sz w:val="20"/>
                <w:szCs w:val="20"/>
              </w:rPr>
            </w:pPr>
            <w:r w:rsidRPr="006D5D6F">
              <w:rPr>
                <w:rFonts w:ascii="Verdana" w:hAnsi="Verdana"/>
                <w:b/>
                <w:sz w:val="20"/>
                <w:szCs w:val="20"/>
              </w:rPr>
              <w:lastRenderedPageBreak/>
              <w:t>SEAC:</w:t>
            </w:r>
            <w:r w:rsidRPr="006D5D6F">
              <w:rPr>
                <w:rFonts w:ascii="Verdana" w:hAnsi="Verdana"/>
                <w:sz w:val="20"/>
                <w:szCs w:val="20"/>
              </w:rPr>
              <w:t xml:space="preserve"> </w:t>
            </w:r>
            <w:r w:rsidR="00D57295">
              <w:rPr>
                <w:rFonts w:ascii="Verdana" w:hAnsi="Verdana"/>
                <w:sz w:val="20"/>
                <w:szCs w:val="20"/>
              </w:rPr>
              <w:t xml:space="preserve">Thank you for your </w:t>
            </w:r>
            <w:r w:rsidR="002348AC">
              <w:rPr>
                <w:rFonts w:ascii="Verdana" w:hAnsi="Verdana"/>
                <w:sz w:val="20"/>
                <w:szCs w:val="20"/>
              </w:rPr>
              <w:t xml:space="preserve">detailed </w:t>
            </w:r>
            <w:r w:rsidR="00D57295">
              <w:rPr>
                <w:rFonts w:ascii="Verdana" w:hAnsi="Verdana"/>
                <w:sz w:val="20"/>
                <w:szCs w:val="20"/>
              </w:rPr>
              <w:t xml:space="preserve">comment. </w:t>
            </w:r>
            <w:r w:rsidRPr="006D5D6F">
              <w:rPr>
                <w:rFonts w:ascii="Verdana" w:hAnsi="Verdana"/>
                <w:sz w:val="20"/>
                <w:szCs w:val="20"/>
              </w:rPr>
              <w:t xml:space="preserve">The restriction proposal is </w:t>
            </w:r>
            <w:r w:rsidR="00FC1DC1">
              <w:rPr>
                <w:rFonts w:ascii="Verdana" w:hAnsi="Verdana"/>
                <w:sz w:val="20"/>
                <w:szCs w:val="20"/>
              </w:rPr>
              <w:t>targeted</w:t>
            </w:r>
            <w:r w:rsidR="00FC1DC1" w:rsidRPr="006D5D6F">
              <w:rPr>
                <w:rFonts w:ascii="Verdana" w:hAnsi="Verdana"/>
                <w:sz w:val="20"/>
                <w:szCs w:val="20"/>
              </w:rPr>
              <w:t xml:space="preserve"> </w:t>
            </w:r>
            <w:r w:rsidRPr="006D5D6F">
              <w:rPr>
                <w:rFonts w:ascii="Verdana" w:hAnsi="Verdana"/>
                <w:sz w:val="20"/>
                <w:szCs w:val="20"/>
              </w:rPr>
              <w:t>on human health</w:t>
            </w:r>
            <w:r w:rsidR="00FC1DC1">
              <w:rPr>
                <w:rFonts w:ascii="Verdana" w:hAnsi="Verdana"/>
                <w:sz w:val="20"/>
                <w:szCs w:val="20"/>
              </w:rPr>
              <w:t xml:space="preserve"> effects</w:t>
            </w:r>
            <w:r w:rsidRPr="006D5D6F">
              <w:rPr>
                <w:rFonts w:ascii="Verdana" w:hAnsi="Verdana"/>
                <w:sz w:val="20"/>
                <w:szCs w:val="20"/>
              </w:rPr>
              <w:t xml:space="preserve">. However, when assessing alternatives all aspects (human and </w:t>
            </w:r>
            <w:r w:rsidRPr="006D5D6F">
              <w:rPr>
                <w:rFonts w:ascii="Verdana" w:hAnsi="Verdana"/>
                <w:sz w:val="20"/>
                <w:szCs w:val="20"/>
              </w:rPr>
              <w:lastRenderedPageBreak/>
              <w:t>environmental hazards) need to be taken into account</w:t>
            </w:r>
            <w:r w:rsidR="00FC1DC1">
              <w:rPr>
                <w:rFonts w:ascii="Verdana" w:hAnsi="Verdana"/>
                <w:sz w:val="20"/>
                <w:szCs w:val="20"/>
              </w:rPr>
              <w:t xml:space="preserve"> to assess the suitability of an alternative (please see our response in Table 2 section H 09)</w:t>
            </w:r>
            <w:r w:rsidRPr="006D5D6F">
              <w:rPr>
                <w:rFonts w:ascii="Verdana" w:hAnsi="Verdana"/>
                <w:sz w:val="20"/>
                <w:szCs w:val="20"/>
              </w:rPr>
              <w:t>.</w:t>
            </w:r>
          </w:p>
          <w:p w:rsidR="002348AC" w:rsidRPr="006D5D6F" w:rsidRDefault="002348AC" w:rsidP="00990ADD">
            <w:pPr>
              <w:jc w:val="both"/>
              <w:rPr>
                <w:rFonts w:ascii="Verdana" w:hAnsi="Verdana"/>
                <w:sz w:val="20"/>
                <w:szCs w:val="20"/>
              </w:rPr>
            </w:pPr>
            <w:r>
              <w:rPr>
                <w:rFonts w:ascii="Verdana" w:hAnsi="Verdana"/>
                <w:sz w:val="20"/>
                <w:szCs w:val="20"/>
              </w:rPr>
              <w:t xml:space="preserve">We agree with the DS that </w:t>
            </w:r>
            <w:r w:rsidR="00F400C8">
              <w:rPr>
                <w:rFonts w:ascii="Verdana" w:hAnsi="Verdana"/>
                <w:sz w:val="20"/>
                <w:szCs w:val="20"/>
              </w:rPr>
              <w:t xml:space="preserve">for this purpose </w:t>
            </w:r>
            <w:r>
              <w:rPr>
                <w:rFonts w:ascii="Verdana" w:hAnsi="Verdana"/>
                <w:sz w:val="20"/>
                <w:szCs w:val="20"/>
              </w:rPr>
              <w:t xml:space="preserve">the environmental hazards of the four phthalates and the alternatives have been adequately </w:t>
            </w:r>
            <w:r w:rsidR="00F400C8">
              <w:rPr>
                <w:rFonts w:ascii="Verdana" w:hAnsi="Verdana"/>
                <w:sz w:val="20"/>
                <w:szCs w:val="20"/>
              </w:rPr>
              <w:t>presented in the BD.</w:t>
            </w:r>
          </w:p>
          <w:p w:rsidR="00473A7B" w:rsidRPr="006D5D6F" w:rsidRDefault="00473A7B" w:rsidP="00990ADD">
            <w:pPr>
              <w:jc w:val="both"/>
              <w:rPr>
                <w:rFonts w:ascii="Verdana" w:hAnsi="Verdana"/>
                <w:sz w:val="20"/>
                <w:szCs w:val="20"/>
              </w:rPr>
            </w:pPr>
          </w:p>
        </w:tc>
      </w:tr>
      <w:tr w:rsidR="00473A7B" w:rsidRPr="006D5D6F" w:rsidTr="00EB27EF">
        <w:trPr>
          <w:trHeight w:val="2204"/>
        </w:trPr>
        <w:tc>
          <w:tcPr>
            <w:tcW w:w="235" w:type="pct"/>
            <w:vMerge w:val="restart"/>
          </w:tcPr>
          <w:p w:rsidR="00473A7B" w:rsidRPr="006D5D6F" w:rsidRDefault="00473A7B" w:rsidP="00EB27EF">
            <w:pPr>
              <w:jc w:val="center"/>
              <w:rPr>
                <w:rFonts w:ascii="Verdana" w:hAnsi="Verdana"/>
                <w:b/>
                <w:noProof/>
                <w:sz w:val="20"/>
                <w:szCs w:val="20"/>
              </w:rPr>
            </w:pPr>
          </w:p>
        </w:tc>
        <w:tc>
          <w:tcPr>
            <w:tcW w:w="1060" w:type="pct"/>
            <w:vMerge w:val="restart"/>
          </w:tcPr>
          <w:p w:rsidR="00473A7B" w:rsidRPr="006D5D6F" w:rsidRDefault="00473A7B" w:rsidP="00EB27EF">
            <w:pPr>
              <w:rPr>
                <w:rFonts w:ascii="Verdana" w:hAnsi="Verdana"/>
                <w:sz w:val="20"/>
                <w:szCs w:val="20"/>
              </w:rPr>
            </w:pPr>
          </w:p>
        </w:tc>
        <w:tc>
          <w:tcPr>
            <w:tcW w:w="1646" w:type="pct"/>
          </w:tcPr>
          <w:p w:rsidR="00473A7B" w:rsidRPr="006D5D6F" w:rsidRDefault="00473A7B" w:rsidP="00990ADD">
            <w:pPr>
              <w:jc w:val="both"/>
              <w:rPr>
                <w:rFonts w:ascii="Verdana" w:hAnsi="Verdana"/>
                <w:noProof/>
                <w:sz w:val="20"/>
                <w:szCs w:val="20"/>
              </w:rPr>
            </w:pPr>
            <w:r w:rsidRPr="006D5D6F">
              <w:rPr>
                <w:rFonts w:ascii="Verdana" w:hAnsi="Verdana"/>
                <w:noProof/>
                <w:sz w:val="20"/>
                <w:szCs w:val="20"/>
              </w:rPr>
              <w:t>p.232, first paragraph. Please consider rephrasing the sentence referring to potential inclusion of MEHP in the measured BCF (based on total radioactivity) – “…these data are assumed to be valid” is not quite the right meaning. Suggest “However, since the main metabolism product of DEHP is the reprotoxic MEHP, its inclusion in the measured BCF is appropriate.”</w:t>
            </w:r>
          </w:p>
        </w:tc>
        <w:tc>
          <w:tcPr>
            <w:tcW w:w="1060" w:type="pct"/>
            <w:gridSpan w:val="2"/>
          </w:tcPr>
          <w:p w:rsidR="00473A7B" w:rsidRPr="006D5D6F" w:rsidRDefault="00473A7B" w:rsidP="00EB27EF">
            <w:pPr>
              <w:rPr>
                <w:rFonts w:ascii="Verdana" w:hAnsi="Verdana"/>
                <w:sz w:val="20"/>
                <w:szCs w:val="20"/>
              </w:rPr>
            </w:pPr>
          </w:p>
        </w:tc>
        <w:tc>
          <w:tcPr>
            <w:tcW w:w="999" w:type="pct"/>
          </w:tcPr>
          <w:p w:rsidR="00473A7B" w:rsidRPr="006D5D6F" w:rsidRDefault="00473A7B" w:rsidP="00EB27EF">
            <w:pPr>
              <w:jc w:val="both"/>
              <w:rPr>
                <w:rFonts w:ascii="Verdana" w:hAnsi="Verdana"/>
                <w:sz w:val="20"/>
                <w:szCs w:val="20"/>
              </w:rPr>
            </w:pPr>
          </w:p>
        </w:tc>
      </w:tr>
      <w:tr w:rsidR="00473A7B" w:rsidRPr="006D5D6F" w:rsidTr="00EB27EF">
        <w:trPr>
          <w:trHeight w:val="1304"/>
        </w:trPr>
        <w:tc>
          <w:tcPr>
            <w:tcW w:w="235" w:type="pct"/>
            <w:vMerge/>
          </w:tcPr>
          <w:p w:rsidR="00473A7B" w:rsidRPr="006D5D6F" w:rsidRDefault="00473A7B" w:rsidP="00EB27EF">
            <w:pPr>
              <w:jc w:val="center"/>
              <w:rPr>
                <w:rFonts w:ascii="Verdana" w:hAnsi="Verdana"/>
                <w:b/>
                <w:noProof/>
                <w:sz w:val="20"/>
                <w:szCs w:val="20"/>
              </w:rPr>
            </w:pPr>
          </w:p>
        </w:tc>
        <w:tc>
          <w:tcPr>
            <w:tcW w:w="1060" w:type="pct"/>
            <w:vMerge/>
          </w:tcPr>
          <w:p w:rsidR="00473A7B" w:rsidRPr="006D5D6F" w:rsidRDefault="00473A7B" w:rsidP="00EB27EF">
            <w:pPr>
              <w:rPr>
                <w:rFonts w:ascii="Verdana" w:hAnsi="Verdana"/>
                <w:sz w:val="20"/>
                <w:szCs w:val="20"/>
              </w:rPr>
            </w:pPr>
          </w:p>
        </w:tc>
        <w:tc>
          <w:tcPr>
            <w:tcW w:w="1646" w:type="pct"/>
          </w:tcPr>
          <w:p w:rsidR="00473A7B" w:rsidRPr="006D5D6F" w:rsidRDefault="00473A7B" w:rsidP="00990ADD">
            <w:pPr>
              <w:jc w:val="both"/>
              <w:rPr>
                <w:rFonts w:ascii="Verdana" w:hAnsi="Verdana"/>
                <w:noProof/>
                <w:sz w:val="20"/>
                <w:szCs w:val="20"/>
              </w:rPr>
            </w:pPr>
            <w:r w:rsidRPr="006D5D6F">
              <w:rPr>
                <w:rFonts w:ascii="Verdana" w:hAnsi="Verdana"/>
                <w:noProof/>
                <w:sz w:val="20"/>
                <w:szCs w:val="20"/>
              </w:rPr>
              <w:t>p.232, first sentence of second paragraph: please delete as the BCF decreasing at concentrations higher than 5 micro g/l is most likely an artefact of the quantity in water versus the bioavailable (truly dissolved) fraction.</w:t>
            </w:r>
          </w:p>
        </w:tc>
        <w:tc>
          <w:tcPr>
            <w:tcW w:w="1060" w:type="pct"/>
            <w:gridSpan w:val="2"/>
          </w:tcPr>
          <w:p w:rsidR="00473A7B" w:rsidRPr="006D5D6F" w:rsidRDefault="00473A7B" w:rsidP="00EB27EF">
            <w:pPr>
              <w:rPr>
                <w:rFonts w:ascii="Verdana" w:hAnsi="Verdana"/>
                <w:sz w:val="20"/>
                <w:szCs w:val="20"/>
              </w:rPr>
            </w:pPr>
          </w:p>
        </w:tc>
        <w:tc>
          <w:tcPr>
            <w:tcW w:w="999" w:type="pct"/>
          </w:tcPr>
          <w:p w:rsidR="00473A7B" w:rsidRPr="006D5D6F" w:rsidRDefault="00473A7B" w:rsidP="00EB27EF">
            <w:pPr>
              <w:jc w:val="both"/>
              <w:rPr>
                <w:rFonts w:ascii="Verdana" w:hAnsi="Verdana"/>
                <w:sz w:val="20"/>
                <w:szCs w:val="20"/>
              </w:rPr>
            </w:pPr>
          </w:p>
        </w:tc>
      </w:tr>
      <w:tr w:rsidR="00473A7B" w:rsidRPr="006D5D6F" w:rsidTr="00EB27EF">
        <w:trPr>
          <w:trHeight w:val="1304"/>
        </w:trPr>
        <w:tc>
          <w:tcPr>
            <w:tcW w:w="235" w:type="pct"/>
            <w:vMerge/>
          </w:tcPr>
          <w:p w:rsidR="00473A7B" w:rsidRPr="006D5D6F" w:rsidRDefault="00473A7B" w:rsidP="00EB27EF">
            <w:pPr>
              <w:jc w:val="center"/>
              <w:rPr>
                <w:rFonts w:ascii="Verdana" w:hAnsi="Verdana"/>
                <w:b/>
                <w:noProof/>
                <w:sz w:val="20"/>
                <w:szCs w:val="20"/>
              </w:rPr>
            </w:pPr>
          </w:p>
        </w:tc>
        <w:tc>
          <w:tcPr>
            <w:tcW w:w="1060" w:type="pct"/>
            <w:vMerge/>
          </w:tcPr>
          <w:p w:rsidR="00473A7B" w:rsidRPr="006D5D6F" w:rsidRDefault="00473A7B" w:rsidP="00EB27EF">
            <w:pPr>
              <w:rPr>
                <w:rFonts w:ascii="Verdana" w:hAnsi="Verdana"/>
                <w:sz w:val="20"/>
                <w:szCs w:val="20"/>
              </w:rPr>
            </w:pPr>
          </w:p>
        </w:tc>
        <w:tc>
          <w:tcPr>
            <w:tcW w:w="1646" w:type="pct"/>
          </w:tcPr>
          <w:p w:rsidR="00473A7B" w:rsidRPr="006D5D6F" w:rsidRDefault="00473A7B" w:rsidP="00990ADD">
            <w:pPr>
              <w:jc w:val="both"/>
              <w:rPr>
                <w:rFonts w:ascii="Verdana" w:hAnsi="Verdana"/>
                <w:noProof/>
                <w:sz w:val="20"/>
                <w:szCs w:val="20"/>
              </w:rPr>
            </w:pPr>
            <w:r w:rsidRPr="006D5D6F">
              <w:rPr>
                <w:rFonts w:ascii="Verdana" w:hAnsi="Verdana"/>
                <w:noProof/>
                <w:sz w:val="20"/>
                <w:szCs w:val="20"/>
              </w:rPr>
              <w:t>p.252, “exposure via sludge” second paragraph: the solubility in sludge mixtures will not be higher than in distilled water. Presumably this should be the bioavailability of DEHP in sludge mixtures may be higher…</w:t>
            </w:r>
          </w:p>
        </w:tc>
        <w:tc>
          <w:tcPr>
            <w:tcW w:w="1060" w:type="pct"/>
            <w:gridSpan w:val="2"/>
          </w:tcPr>
          <w:p w:rsidR="00473A7B" w:rsidRPr="006D5D6F" w:rsidRDefault="00473A7B" w:rsidP="00EB27EF">
            <w:pPr>
              <w:rPr>
                <w:rFonts w:ascii="Verdana" w:hAnsi="Verdana"/>
                <w:sz w:val="20"/>
                <w:szCs w:val="20"/>
              </w:rPr>
            </w:pPr>
          </w:p>
        </w:tc>
        <w:tc>
          <w:tcPr>
            <w:tcW w:w="999" w:type="pct"/>
          </w:tcPr>
          <w:p w:rsidR="00473A7B" w:rsidRPr="006D5D6F" w:rsidRDefault="00473A7B" w:rsidP="00EB27EF">
            <w:pPr>
              <w:jc w:val="both"/>
              <w:rPr>
                <w:rFonts w:ascii="Verdana" w:hAnsi="Verdana"/>
                <w:sz w:val="20"/>
                <w:szCs w:val="20"/>
              </w:rPr>
            </w:pPr>
          </w:p>
        </w:tc>
      </w:tr>
      <w:tr w:rsidR="00473A7B" w:rsidRPr="006D5D6F" w:rsidTr="00EB27EF">
        <w:trPr>
          <w:trHeight w:val="764"/>
        </w:trPr>
        <w:tc>
          <w:tcPr>
            <w:tcW w:w="235" w:type="pct"/>
            <w:vMerge/>
          </w:tcPr>
          <w:p w:rsidR="00473A7B" w:rsidRPr="006D5D6F" w:rsidRDefault="00473A7B" w:rsidP="00EB27EF">
            <w:pPr>
              <w:jc w:val="center"/>
              <w:rPr>
                <w:rFonts w:ascii="Verdana" w:hAnsi="Verdana"/>
                <w:b/>
                <w:noProof/>
                <w:sz w:val="20"/>
                <w:szCs w:val="20"/>
              </w:rPr>
            </w:pPr>
          </w:p>
        </w:tc>
        <w:tc>
          <w:tcPr>
            <w:tcW w:w="1060" w:type="pct"/>
            <w:vMerge/>
          </w:tcPr>
          <w:p w:rsidR="00473A7B" w:rsidRPr="006D5D6F" w:rsidRDefault="00473A7B" w:rsidP="00EB27EF">
            <w:pPr>
              <w:rPr>
                <w:rFonts w:ascii="Verdana" w:hAnsi="Verdana"/>
                <w:sz w:val="20"/>
                <w:szCs w:val="20"/>
              </w:rPr>
            </w:pPr>
          </w:p>
        </w:tc>
        <w:tc>
          <w:tcPr>
            <w:tcW w:w="1646" w:type="pct"/>
          </w:tcPr>
          <w:p w:rsidR="00473A7B" w:rsidRPr="006D5D6F" w:rsidRDefault="00473A7B" w:rsidP="00990ADD">
            <w:pPr>
              <w:jc w:val="both"/>
              <w:rPr>
                <w:rFonts w:ascii="Verdana" w:hAnsi="Verdana"/>
                <w:noProof/>
                <w:sz w:val="20"/>
                <w:szCs w:val="20"/>
              </w:rPr>
            </w:pPr>
            <w:r w:rsidRPr="006D5D6F">
              <w:rPr>
                <w:rFonts w:ascii="Verdana" w:hAnsi="Verdana"/>
                <w:noProof/>
                <w:sz w:val="20"/>
                <w:szCs w:val="20"/>
              </w:rPr>
              <w:t>p.258, title to table is incorrect: should refer to DEHP. Plus small table below C.14.2 should be removed – shouldn’t appear here.</w:t>
            </w:r>
          </w:p>
        </w:tc>
        <w:tc>
          <w:tcPr>
            <w:tcW w:w="1060" w:type="pct"/>
            <w:gridSpan w:val="2"/>
          </w:tcPr>
          <w:p w:rsidR="00473A7B" w:rsidRPr="006D5D6F" w:rsidRDefault="00473A7B" w:rsidP="00EB27EF">
            <w:pPr>
              <w:rPr>
                <w:rFonts w:ascii="Verdana" w:hAnsi="Verdana"/>
                <w:sz w:val="20"/>
                <w:szCs w:val="20"/>
              </w:rPr>
            </w:pPr>
          </w:p>
        </w:tc>
        <w:tc>
          <w:tcPr>
            <w:tcW w:w="999" w:type="pct"/>
          </w:tcPr>
          <w:p w:rsidR="00473A7B" w:rsidRPr="006D5D6F" w:rsidRDefault="00473A7B" w:rsidP="00EB27EF">
            <w:pPr>
              <w:jc w:val="both"/>
              <w:rPr>
                <w:rFonts w:ascii="Verdana" w:hAnsi="Verdana"/>
                <w:sz w:val="20"/>
                <w:szCs w:val="20"/>
              </w:rPr>
            </w:pPr>
          </w:p>
        </w:tc>
      </w:tr>
      <w:tr w:rsidR="00473A7B" w:rsidRPr="006D5D6F" w:rsidTr="00EB27EF">
        <w:trPr>
          <w:trHeight w:val="1554"/>
        </w:trPr>
        <w:tc>
          <w:tcPr>
            <w:tcW w:w="235" w:type="pct"/>
            <w:vMerge w:val="restart"/>
          </w:tcPr>
          <w:p w:rsidR="00473A7B" w:rsidRPr="006D5D6F" w:rsidRDefault="00473A7B" w:rsidP="00EB27EF">
            <w:pPr>
              <w:jc w:val="center"/>
              <w:rPr>
                <w:rFonts w:ascii="Verdana" w:hAnsi="Verdana"/>
                <w:b/>
                <w:noProof/>
                <w:sz w:val="20"/>
                <w:szCs w:val="20"/>
              </w:rPr>
            </w:pPr>
          </w:p>
        </w:tc>
        <w:tc>
          <w:tcPr>
            <w:tcW w:w="1060" w:type="pct"/>
            <w:vMerge w:val="restart"/>
          </w:tcPr>
          <w:p w:rsidR="00473A7B" w:rsidRPr="006D5D6F" w:rsidRDefault="00473A7B" w:rsidP="00EB27EF">
            <w:pPr>
              <w:rPr>
                <w:rFonts w:ascii="Verdana" w:hAnsi="Verdana"/>
                <w:sz w:val="20"/>
                <w:szCs w:val="20"/>
              </w:rPr>
            </w:pPr>
          </w:p>
        </w:tc>
        <w:tc>
          <w:tcPr>
            <w:tcW w:w="1646" w:type="pct"/>
          </w:tcPr>
          <w:p w:rsidR="00473A7B" w:rsidRPr="006D5D6F" w:rsidRDefault="00473A7B" w:rsidP="00990ADD">
            <w:pPr>
              <w:jc w:val="both"/>
              <w:rPr>
                <w:rFonts w:ascii="Verdana" w:hAnsi="Verdana"/>
                <w:noProof/>
                <w:sz w:val="20"/>
                <w:szCs w:val="20"/>
              </w:rPr>
            </w:pPr>
            <w:r w:rsidRPr="006D5D6F">
              <w:rPr>
                <w:rFonts w:ascii="Verdana" w:hAnsi="Verdana"/>
                <w:noProof/>
                <w:sz w:val="20"/>
                <w:szCs w:val="20"/>
              </w:rPr>
              <w:t>p. 275, first paragraph under table on bioaccumulation</w:t>
            </w:r>
          </w:p>
          <w:p w:rsidR="00473A7B" w:rsidRPr="006D5D6F" w:rsidRDefault="00473A7B" w:rsidP="00990ADD">
            <w:pPr>
              <w:jc w:val="both"/>
              <w:rPr>
                <w:rFonts w:ascii="Verdana" w:hAnsi="Verdana"/>
                <w:noProof/>
                <w:sz w:val="20"/>
                <w:szCs w:val="20"/>
              </w:rPr>
            </w:pPr>
            <w:r w:rsidRPr="006D5D6F">
              <w:rPr>
                <w:rFonts w:ascii="Verdana" w:hAnsi="Verdana"/>
                <w:noProof/>
                <w:sz w:val="20"/>
                <w:szCs w:val="20"/>
              </w:rPr>
              <w:t>The BCF test is not meant to allow a direct conclusion on biomagnification potential. Please change to “…that BBP is not considered to bioaccumulate” (i.e. it’s very unlike to biomagnify with such a low BCF).</w:t>
            </w:r>
          </w:p>
          <w:p w:rsidR="00473A7B" w:rsidRPr="006D5D6F" w:rsidRDefault="00473A7B" w:rsidP="00990ADD">
            <w:pPr>
              <w:jc w:val="both"/>
              <w:rPr>
                <w:rFonts w:ascii="Verdana" w:hAnsi="Verdana"/>
                <w:noProof/>
                <w:sz w:val="20"/>
                <w:szCs w:val="20"/>
              </w:rPr>
            </w:pPr>
            <w:r w:rsidRPr="006D5D6F">
              <w:rPr>
                <w:rFonts w:ascii="Verdana" w:hAnsi="Verdana"/>
                <w:noProof/>
                <w:sz w:val="20"/>
                <w:szCs w:val="20"/>
              </w:rPr>
              <w:t>p.276, algae paragraph. It is stated that the 0.20 mg/l ErC10 is used to derive the PNEC aq. This seems wrong as the Daphnia NOEC is used to derive the PNEC aq.</w:t>
            </w:r>
          </w:p>
        </w:tc>
        <w:tc>
          <w:tcPr>
            <w:tcW w:w="1060" w:type="pct"/>
            <w:gridSpan w:val="2"/>
            <w:vMerge w:val="restart"/>
          </w:tcPr>
          <w:p w:rsidR="00473A7B" w:rsidRPr="006D5D6F" w:rsidRDefault="00473A7B" w:rsidP="00EB27EF">
            <w:pPr>
              <w:rPr>
                <w:rFonts w:ascii="Verdana" w:hAnsi="Verdana"/>
                <w:sz w:val="20"/>
                <w:szCs w:val="20"/>
              </w:rPr>
            </w:pPr>
          </w:p>
        </w:tc>
        <w:tc>
          <w:tcPr>
            <w:tcW w:w="999" w:type="pct"/>
            <w:vMerge w:val="restart"/>
          </w:tcPr>
          <w:p w:rsidR="00473A7B" w:rsidRPr="006D5D6F" w:rsidRDefault="00473A7B" w:rsidP="00EB27EF">
            <w:pPr>
              <w:jc w:val="both"/>
              <w:rPr>
                <w:rFonts w:ascii="Verdana" w:hAnsi="Verdana"/>
                <w:sz w:val="20"/>
                <w:szCs w:val="20"/>
              </w:rPr>
            </w:pPr>
          </w:p>
        </w:tc>
      </w:tr>
      <w:tr w:rsidR="00473A7B" w:rsidRPr="006D5D6F" w:rsidTr="00EB27EF">
        <w:trPr>
          <w:trHeight w:val="422"/>
        </w:trPr>
        <w:tc>
          <w:tcPr>
            <w:tcW w:w="235" w:type="pct"/>
            <w:vMerge/>
          </w:tcPr>
          <w:p w:rsidR="00473A7B" w:rsidRPr="006D5D6F" w:rsidRDefault="00473A7B" w:rsidP="00EB27EF">
            <w:pPr>
              <w:jc w:val="center"/>
              <w:rPr>
                <w:rFonts w:ascii="Verdana" w:hAnsi="Verdana"/>
                <w:b/>
                <w:noProof/>
                <w:sz w:val="20"/>
                <w:szCs w:val="20"/>
              </w:rPr>
            </w:pPr>
          </w:p>
        </w:tc>
        <w:tc>
          <w:tcPr>
            <w:tcW w:w="1060" w:type="pct"/>
            <w:vMerge/>
          </w:tcPr>
          <w:p w:rsidR="00473A7B" w:rsidRPr="006D5D6F" w:rsidRDefault="00473A7B" w:rsidP="00EB27EF">
            <w:pPr>
              <w:rPr>
                <w:rFonts w:ascii="Verdana" w:hAnsi="Verdana"/>
                <w:sz w:val="20"/>
                <w:szCs w:val="20"/>
              </w:rPr>
            </w:pPr>
          </w:p>
        </w:tc>
        <w:tc>
          <w:tcPr>
            <w:tcW w:w="1646" w:type="pct"/>
          </w:tcPr>
          <w:p w:rsidR="00473A7B" w:rsidRPr="006D5D6F" w:rsidRDefault="00473A7B" w:rsidP="00EB27EF">
            <w:pPr>
              <w:rPr>
                <w:rFonts w:ascii="Verdana" w:hAnsi="Verdana"/>
                <w:noProof/>
                <w:sz w:val="20"/>
                <w:szCs w:val="20"/>
              </w:rPr>
            </w:pPr>
            <w:r w:rsidRPr="006D5D6F">
              <w:rPr>
                <w:rFonts w:ascii="Verdana" w:hAnsi="Verdana"/>
                <w:noProof/>
                <w:sz w:val="20"/>
                <w:szCs w:val="20"/>
              </w:rPr>
              <w:t>The remaining comments are addressed in Table II H 05; 06; 07; 08; 09; 10; 11; 14 and 17.</w:t>
            </w:r>
          </w:p>
        </w:tc>
        <w:tc>
          <w:tcPr>
            <w:tcW w:w="1060" w:type="pct"/>
            <w:gridSpan w:val="2"/>
            <w:vMerge/>
          </w:tcPr>
          <w:p w:rsidR="00473A7B" w:rsidRPr="006D5D6F" w:rsidRDefault="00473A7B" w:rsidP="00EB27EF">
            <w:pPr>
              <w:rPr>
                <w:rFonts w:ascii="Verdana" w:hAnsi="Verdana"/>
                <w:sz w:val="20"/>
                <w:szCs w:val="20"/>
              </w:rPr>
            </w:pPr>
          </w:p>
        </w:tc>
        <w:tc>
          <w:tcPr>
            <w:tcW w:w="999" w:type="pct"/>
            <w:vMerge/>
          </w:tcPr>
          <w:p w:rsidR="00473A7B" w:rsidRPr="006D5D6F" w:rsidRDefault="00473A7B" w:rsidP="00EB27EF">
            <w:pPr>
              <w:jc w:val="both"/>
              <w:rPr>
                <w:rFonts w:ascii="Verdana" w:hAnsi="Verdana"/>
                <w:sz w:val="20"/>
                <w:szCs w:val="20"/>
              </w:rPr>
            </w:pPr>
          </w:p>
        </w:tc>
      </w:tr>
      <w:tr w:rsidR="00473A7B" w:rsidRPr="006D5D6F" w:rsidTr="00DF6DE0">
        <w:trPr>
          <w:trHeight w:val="504"/>
        </w:trPr>
        <w:tc>
          <w:tcPr>
            <w:tcW w:w="235" w:type="pct"/>
            <w:vMerge w:val="restart"/>
          </w:tcPr>
          <w:p w:rsidR="00473A7B" w:rsidRPr="006D5D6F" w:rsidRDefault="00473A7B" w:rsidP="00EB27EF">
            <w:pPr>
              <w:jc w:val="center"/>
              <w:rPr>
                <w:rFonts w:ascii="Verdana" w:hAnsi="Verdana"/>
                <w:b/>
                <w:noProof/>
                <w:sz w:val="20"/>
                <w:szCs w:val="20"/>
              </w:rPr>
            </w:pPr>
            <w:r w:rsidRPr="006D5D6F">
              <w:rPr>
                <w:rFonts w:ascii="Verdana" w:hAnsi="Verdana"/>
                <w:b/>
                <w:noProof/>
                <w:sz w:val="20"/>
                <w:szCs w:val="20"/>
              </w:rPr>
              <w:t>133</w:t>
            </w:r>
          </w:p>
        </w:tc>
        <w:tc>
          <w:tcPr>
            <w:tcW w:w="1060" w:type="pct"/>
            <w:vMerge w:val="restart"/>
          </w:tcPr>
          <w:p w:rsidR="00473A7B" w:rsidRPr="006D5D6F" w:rsidRDefault="00473A7B" w:rsidP="00EB27EF">
            <w:pPr>
              <w:jc w:val="both"/>
              <w:rPr>
                <w:rFonts w:ascii="Verdana" w:hAnsi="Verdana"/>
                <w:noProof/>
                <w:sz w:val="20"/>
                <w:szCs w:val="20"/>
              </w:rPr>
            </w:pPr>
            <w:smartTag w:uri="urn:schemas-microsoft-com:office:smarttags" w:element="PlaceName">
              <w:r w:rsidRPr="006D5D6F">
                <w:rPr>
                  <w:rFonts w:ascii="Verdana" w:hAnsi="Verdana"/>
                  <w:noProof/>
                  <w:sz w:val="20"/>
                  <w:szCs w:val="20"/>
                </w:rPr>
                <w:t>Czech</w:t>
              </w:r>
            </w:smartTag>
            <w:r w:rsidRPr="006D5D6F">
              <w:rPr>
                <w:rFonts w:ascii="Verdana" w:hAnsi="Verdana"/>
                <w:noProof/>
                <w:sz w:val="20"/>
                <w:szCs w:val="20"/>
              </w:rPr>
              <w:t xml:space="preserve"> </w:t>
            </w:r>
            <w:smartTag w:uri="urn:schemas-microsoft-com:office:smarttags" w:element="PlaceType">
              <w:r w:rsidRPr="006D5D6F">
                <w:rPr>
                  <w:rFonts w:ascii="Verdana" w:hAnsi="Verdana"/>
                  <w:noProof/>
                  <w:sz w:val="20"/>
                  <w:szCs w:val="20"/>
                </w:rPr>
                <w:t>Republic</w:t>
              </w:r>
            </w:smartTag>
            <w:r w:rsidRPr="006D5D6F">
              <w:rPr>
                <w:rFonts w:ascii="Verdana" w:hAnsi="Verdana"/>
                <w:sz w:val="20"/>
                <w:szCs w:val="20"/>
              </w:rPr>
              <w:t xml:space="preserve"> / </w:t>
            </w:r>
            <w:r w:rsidRPr="006D5D6F">
              <w:rPr>
                <w:rFonts w:ascii="Verdana" w:hAnsi="Verdana"/>
                <w:noProof/>
                <w:sz w:val="20"/>
                <w:szCs w:val="20"/>
              </w:rPr>
              <w:t>National authority</w:t>
            </w:r>
            <w:r w:rsidRPr="006D5D6F">
              <w:rPr>
                <w:rFonts w:ascii="Verdana" w:hAnsi="Verdana"/>
                <w:sz w:val="20"/>
                <w:szCs w:val="20"/>
              </w:rPr>
              <w:t xml:space="preserve"> / </w:t>
            </w:r>
            <w:r w:rsidRPr="006D5D6F">
              <w:rPr>
                <w:rFonts w:ascii="Verdana" w:hAnsi="Verdana"/>
                <w:noProof/>
                <w:sz w:val="20"/>
                <w:szCs w:val="20"/>
              </w:rPr>
              <w:t xml:space="preserve">Ministry of Industry and Trade of the </w:t>
            </w:r>
            <w:smartTag w:uri="urn:schemas-microsoft-com:office:smarttags" w:element="country-region">
              <w:smartTag w:uri="urn:schemas-microsoft-com:office:smarttags" w:element="place">
                <w:r w:rsidRPr="006D5D6F">
                  <w:rPr>
                    <w:rFonts w:ascii="Verdana" w:hAnsi="Verdana"/>
                    <w:noProof/>
                    <w:sz w:val="20"/>
                    <w:szCs w:val="20"/>
                  </w:rPr>
                  <w:t>Czech Republic</w:t>
                </w:r>
              </w:smartTag>
            </w:smartTag>
          </w:p>
        </w:tc>
        <w:tc>
          <w:tcPr>
            <w:tcW w:w="1646" w:type="pct"/>
          </w:tcPr>
          <w:p w:rsidR="00473A7B" w:rsidRPr="006D5D6F" w:rsidRDefault="00473A7B" w:rsidP="00EB27EF">
            <w:pPr>
              <w:jc w:val="both"/>
              <w:rPr>
                <w:rFonts w:ascii="Verdana" w:hAnsi="Verdana"/>
                <w:noProof/>
                <w:sz w:val="20"/>
                <w:szCs w:val="20"/>
              </w:rPr>
            </w:pPr>
            <w:r w:rsidRPr="006D5D6F">
              <w:rPr>
                <w:rFonts w:ascii="Verdana" w:hAnsi="Verdana"/>
                <w:noProof/>
                <w:sz w:val="20"/>
                <w:szCs w:val="20"/>
              </w:rPr>
              <w:t>When introducing the proposed restrictions it should be also considered if the derogations for medical devices covered under Directive 90/385/EEC, Directive 93/42/EEC or Directive 98/79/EC and for articles intended to come into contact with food covered by Regulation (EC) No 1935/2004 are fully justified.  We believe that restrictions should be general and always the same in all areas of their use (particularly in the field of medical devices). Otherwise the proposal fails to fulfil its main purpose, i.e. the protection of human health.</w:t>
            </w:r>
          </w:p>
        </w:tc>
        <w:tc>
          <w:tcPr>
            <w:tcW w:w="1060" w:type="pct"/>
            <w:gridSpan w:val="2"/>
            <w:vMerge w:val="restart"/>
          </w:tcPr>
          <w:p w:rsidR="00473A7B" w:rsidRPr="006D5D6F" w:rsidRDefault="00473A7B" w:rsidP="00EB27EF">
            <w:pPr>
              <w:jc w:val="both"/>
              <w:rPr>
                <w:rFonts w:ascii="Verdana" w:hAnsi="Verdana"/>
                <w:b/>
                <w:sz w:val="20"/>
                <w:szCs w:val="20"/>
              </w:rPr>
            </w:pPr>
            <w:r w:rsidRPr="006D5D6F">
              <w:rPr>
                <w:rFonts w:ascii="Verdana" w:hAnsi="Verdana"/>
                <w:sz w:val="20"/>
                <w:szCs w:val="20"/>
              </w:rPr>
              <w:t>The existing legislation is already discussed in the BD and it is up to the dossier submitter to target the proposal, and in this case the dossier submitter finds that the (existing) legislation on food contact materials, medical devices etc. are the right place to regulate these materials/devices.</w:t>
            </w:r>
          </w:p>
        </w:tc>
        <w:tc>
          <w:tcPr>
            <w:tcW w:w="999" w:type="pct"/>
            <w:vMerge w:val="restart"/>
          </w:tcPr>
          <w:p w:rsidR="00473A7B" w:rsidRPr="006D5D6F" w:rsidRDefault="00473A7B" w:rsidP="00EB27EF">
            <w:pPr>
              <w:jc w:val="both"/>
              <w:rPr>
                <w:rFonts w:ascii="Verdana" w:hAnsi="Verdana"/>
                <w:sz w:val="20"/>
                <w:szCs w:val="20"/>
              </w:rPr>
            </w:pPr>
            <w:r w:rsidRPr="006D5D6F">
              <w:rPr>
                <w:rFonts w:ascii="Verdana" w:hAnsi="Verdana"/>
                <w:b/>
                <w:sz w:val="20"/>
                <w:szCs w:val="20"/>
              </w:rPr>
              <w:t>RAC and SEAC</w:t>
            </w:r>
            <w:r w:rsidRPr="006D5D6F">
              <w:rPr>
                <w:rFonts w:ascii="Verdana" w:hAnsi="Verdana"/>
                <w:sz w:val="20"/>
                <w:szCs w:val="20"/>
              </w:rPr>
              <w:t>: No further comments.</w:t>
            </w:r>
          </w:p>
        </w:tc>
      </w:tr>
      <w:tr w:rsidR="00473A7B" w:rsidRPr="006D5D6F" w:rsidTr="00EB27EF">
        <w:trPr>
          <w:trHeight w:val="1052"/>
        </w:trPr>
        <w:tc>
          <w:tcPr>
            <w:tcW w:w="235" w:type="pct"/>
            <w:vMerge/>
          </w:tcPr>
          <w:p w:rsidR="00473A7B" w:rsidRPr="006D5D6F" w:rsidRDefault="00473A7B" w:rsidP="00EB27EF">
            <w:pPr>
              <w:jc w:val="center"/>
              <w:rPr>
                <w:rFonts w:ascii="Verdana" w:hAnsi="Verdana"/>
                <w:b/>
                <w:noProof/>
                <w:sz w:val="20"/>
                <w:szCs w:val="20"/>
              </w:rPr>
            </w:pPr>
          </w:p>
        </w:tc>
        <w:tc>
          <w:tcPr>
            <w:tcW w:w="1060" w:type="pct"/>
            <w:vMerge/>
          </w:tcPr>
          <w:p w:rsidR="00473A7B" w:rsidRPr="006D5D6F" w:rsidRDefault="00473A7B" w:rsidP="00EB27EF">
            <w:pPr>
              <w:jc w:val="both"/>
              <w:rPr>
                <w:rFonts w:ascii="Verdana" w:hAnsi="Verdana"/>
                <w:noProof/>
                <w:sz w:val="20"/>
                <w:szCs w:val="20"/>
              </w:rPr>
            </w:pPr>
          </w:p>
        </w:tc>
        <w:tc>
          <w:tcPr>
            <w:tcW w:w="1646" w:type="pct"/>
          </w:tcPr>
          <w:p w:rsidR="00473A7B" w:rsidRPr="006D5D6F" w:rsidRDefault="00473A7B" w:rsidP="00EB27EF">
            <w:pPr>
              <w:jc w:val="both"/>
              <w:rPr>
                <w:rFonts w:ascii="Verdana" w:hAnsi="Verdana"/>
                <w:noProof/>
                <w:sz w:val="20"/>
                <w:szCs w:val="20"/>
              </w:rPr>
            </w:pPr>
            <w:r w:rsidRPr="006D5D6F">
              <w:rPr>
                <w:rFonts w:ascii="Verdana" w:hAnsi="Verdana"/>
                <w:noProof/>
                <w:sz w:val="20"/>
                <w:szCs w:val="20"/>
              </w:rPr>
              <w:t>The remaining comments are addressed in Table II H 01.</w:t>
            </w:r>
          </w:p>
        </w:tc>
        <w:tc>
          <w:tcPr>
            <w:tcW w:w="1060" w:type="pct"/>
            <w:gridSpan w:val="2"/>
            <w:vMerge/>
          </w:tcPr>
          <w:p w:rsidR="00473A7B" w:rsidRPr="006D5D6F" w:rsidRDefault="00473A7B" w:rsidP="00EB27EF">
            <w:pPr>
              <w:jc w:val="both"/>
              <w:rPr>
                <w:rFonts w:ascii="Verdana" w:hAnsi="Verdana"/>
                <w:sz w:val="20"/>
                <w:szCs w:val="20"/>
              </w:rPr>
            </w:pPr>
          </w:p>
        </w:tc>
        <w:tc>
          <w:tcPr>
            <w:tcW w:w="999" w:type="pct"/>
            <w:vMerge/>
          </w:tcPr>
          <w:p w:rsidR="00473A7B" w:rsidRPr="006D5D6F" w:rsidRDefault="00473A7B" w:rsidP="00EB27EF">
            <w:pPr>
              <w:jc w:val="both"/>
              <w:rPr>
                <w:rFonts w:ascii="Verdana" w:hAnsi="Verdana"/>
                <w:b/>
                <w:sz w:val="20"/>
                <w:szCs w:val="20"/>
              </w:rPr>
            </w:pPr>
          </w:p>
        </w:tc>
      </w:tr>
      <w:tr w:rsidR="00473A7B" w:rsidRPr="006D5D6F" w:rsidTr="00EB27EF">
        <w:trPr>
          <w:trHeight w:val="3449"/>
        </w:trPr>
        <w:tc>
          <w:tcPr>
            <w:tcW w:w="235" w:type="pct"/>
            <w:vMerge w:val="restart"/>
          </w:tcPr>
          <w:p w:rsidR="00473A7B" w:rsidRPr="006D5D6F" w:rsidRDefault="00473A7B" w:rsidP="00EB27EF">
            <w:pPr>
              <w:jc w:val="center"/>
              <w:rPr>
                <w:rFonts w:ascii="Verdana" w:hAnsi="Verdana"/>
                <w:b/>
                <w:noProof/>
                <w:sz w:val="20"/>
                <w:szCs w:val="20"/>
              </w:rPr>
            </w:pPr>
            <w:r w:rsidRPr="006D5D6F">
              <w:rPr>
                <w:rFonts w:ascii="Verdana" w:hAnsi="Verdana"/>
                <w:b/>
                <w:noProof/>
                <w:sz w:val="20"/>
                <w:szCs w:val="20"/>
              </w:rPr>
              <w:t>131</w:t>
            </w:r>
          </w:p>
        </w:tc>
        <w:tc>
          <w:tcPr>
            <w:tcW w:w="1060" w:type="pct"/>
            <w:vMerge w:val="restart"/>
          </w:tcPr>
          <w:p w:rsidR="00473A7B" w:rsidRPr="006D5D6F" w:rsidRDefault="00473A7B" w:rsidP="00EB27EF">
            <w:pPr>
              <w:rPr>
                <w:rFonts w:ascii="Verdana" w:hAnsi="Verdana"/>
                <w:sz w:val="20"/>
                <w:szCs w:val="20"/>
              </w:rPr>
            </w:pPr>
            <w:r w:rsidRPr="006D5D6F">
              <w:rPr>
                <w:rFonts w:ascii="Verdana" w:hAnsi="Verdana"/>
                <w:sz w:val="20"/>
                <w:szCs w:val="20"/>
              </w:rPr>
              <w:t xml:space="preserve">/  /   </w:t>
            </w:r>
            <w:smartTag w:uri="urn:schemas-microsoft-com:office:smarttags" w:element="country-region">
              <w:smartTag w:uri="urn:schemas-microsoft-com:office:smarttags" w:element="place">
                <w:r w:rsidRPr="006D5D6F">
                  <w:rPr>
                    <w:rFonts w:ascii="Verdana" w:hAnsi="Verdana"/>
                    <w:noProof/>
                    <w:sz w:val="20"/>
                    <w:szCs w:val="20"/>
                  </w:rPr>
                  <w:t>Norway</w:t>
                </w:r>
              </w:smartTag>
            </w:smartTag>
          </w:p>
          <w:p w:rsidR="00473A7B" w:rsidRPr="006D5D6F" w:rsidRDefault="00473A7B" w:rsidP="00EB27EF">
            <w:pPr>
              <w:rPr>
                <w:rFonts w:ascii="Verdana" w:hAnsi="Verdana"/>
                <w:sz w:val="20"/>
                <w:szCs w:val="20"/>
              </w:rPr>
            </w:pPr>
          </w:p>
          <w:p w:rsidR="00473A7B" w:rsidRPr="006D5D6F" w:rsidRDefault="00473A7B" w:rsidP="00EB27EF">
            <w:pPr>
              <w:jc w:val="both"/>
              <w:rPr>
                <w:rFonts w:ascii="Verdana" w:hAnsi="Verdana"/>
                <w:noProof/>
                <w:sz w:val="20"/>
                <w:szCs w:val="20"/>
              </w:rPr>
            </w:pPr>
            <w:r w:rsidRPr="006D5D6F">
              <w:rPr>
                <w:rFonts w:ascii="Verdana" w:hAnsi="Verdana"/>
                <w:noProof/>
                <w:sz w:val="20"/>
                <w:szCs w:val="20"/>
              </w:rPr>
              <w:t>MSCA</w:t>
            </w:r>
          </w:p>
          <w:p w:rsidR="00473A7B" w:rsidRPr="006D5D6F" w:rsidRDefault="00990ADD" w:rsidP="00EB27EF">
            <w:pPr>
              <w:jc w:val="both"/>
              <w:rPr>
                <w:rFonts w:ascii="Verdana" w:hAnsi="Verdana"/>
                <w:noProof/>
                <w:sz w:val="20"/>
                <w:szCs w:val="20"/>
              </w:rPr>
            </w:pPr>
            <w:r w:rsidRPr="006D5D6F">
              <w:rPr>
                <w:rFonts w:ascii="Verdana" w:hAnsi="Verdana"/>
                <w:sz w:val="20"/>
                <w:szCs w:val="20"/>
              </w:rPr>
              <w:object w:dxaOrig="1534" w:dyaOrig="993">
                <v:shape id="_x0000_i1028" type="#_x0000_t75" style="width:76.5pt;height:49.5pt" o:ole="">
                  <v:imagedata r:id="rId20" o:title=""/>
                </v:shape>
                <o:OLEObject Type="Embed" ProgID="AcroExch.Document.DC" ShapeID="_x0000_i1028" DrawAspect="Icon" ObjectID="_1594549404" r:id="rId21"/>
              </w:object>
            </w:r>
          </w:p>
        </w:tc>
        <w:tc>
          <w:tcPr>
            <w:tcW w:w="1646" w:type="pct"/>
          </w:tcPr>
          <w:p w:rsidR="00473A7B" w:rsidRPr="006D5D6F" w:rsidRDefault="00473A7B" w:rsidP="00990ADD">
            <w:pPr>
              <w:jc w:val="both"/>
              <w:rPr>
                <w:rFonts w:ascii="Verdana" w:hAnsi="Verdana"/>
                <w:noProof/>
                <w:sz w:val="20"/>
                <w:szCs w:val="20"/>
              </w:rPr>
            </w:pPr>
            <w:r w:rsidRPr="006D5D6F">
              <w:rPr>
                <w:rFonts w:ascii="Verdana" w:hAnsi="Verdana"/>
                <w:noProof/>
                <w:sz w:val="20"/>
                <w:szCs w:val="20"/>
              </w:rPr>
              <w:t xml:space="preserve">Based on information from the Norwegian Product register the use of the 4 phthalates as substances or in mixtures is decreasing in </w:t>
            </w:r>
            <w:smartTag w:uri="urn:schemas-microsoft-com:office:smarttags" w:element="country-region">
              <w:smartTag w:uri="urn:schemas-microsoft-com:office:smarttags" w:element="place">
                <w:r w:rsidRPr="006D5D6F">
                  <w:rPr>
                    <w:rFonts w:ascii="Verdana" w:hAnsi="Verdana"/>
                    <w:noProof/>
                    <w:sz w:val="20"/>
                    <w:szCs w:val="20"/>
                  </w:rPr>
                  <w:t>Norway</w:t>
                </w:r>
              </w:smartTag>
            </w:smartTag>
            <w:r w:rsidRPr="006D5D6F">
              <w:rPr>
                <w:rFonts w:ascii="Verdana" w:hAnsi="Verdana"/>
                <w:noProof/>
                <w:sz w:val="20"/>
                <w:szCs w:val="20"/>
              </w:rPr>
              <w:t>. As shown below, both the tonnage and the number of substances/mixtures.</w:t>
            </w:r>
          </w:p>
          <w:p w:rsidR="00473A7B" w:rsidRPr="006D5D6F" w:rsidRDefault="00473A7B" w:rsidP="00990ADD">
            <w:pPr>
              <w:jc w:val="both"/>
              <w:rPr>
                <w:rFonts w:ascii="Verdana" w:hAnsi="Verdana"/>
                <w:noProof/>
                <w:sz w:val="20"/>
                <w:szCs w:val="20"/>
              </w:rPr>
            </w:pPr>
            <w:r w:rsidRPr="006D5D6F">
              <w:rPr>
                <w:rFonts w:ascii="Verdana" w:hAnsi="Verdana"/>
                <w:noProof/>
                <w:sz w:val="20"/>
                <w:szCs w:val="20"/>
              </w:rPr>
              <w:t xml:space="preserve">(products) have to a great extent decreased between 2002 and 2010. The main use areas are in paint, glues, jointing paste, and as a softener. </w:t>
            </w:r>
          </w:p>
          <w:p w:rsidR="00473A7B" w:rsidRPr="006D5D6F" w:rsidRDefault="00473A7B" w:rsidP="00990ADD">
            <w:pPr>
              <w:jc w:val="both"/>
              <w:rPr>
                <w:rFonts w:ascii="Verdana" w:hAnsi="Verdana"/>
                <w:noProof/>
                <w:sz w:val="20"/>
                <w:szCs w:val="20"/>
              </w:rPr>
            </w:pPr>
            <w:r w:rsidRPr="006D5D6F">
              <w:rPr>
                <w:rFonts w:ascii="Verdana" w:hAnsi="Verdana"/>
                <w:noProof/>
                <w:sz w:val="20"/>
                <w:szCs w:val="20"/>
              </w:rPr>
              <w:t>Phthalate use in 2002 (tons/no. of prod); use in 2010 (tons/no. of prod).</w:t>
            </w:r>
          </w:p>
          <w:p w:rsidR="00473A7B" w:rsidRPr="006D5D6F" w:rsidRDefault="00473A7B" w:rsidP="00990ADD">
            <w:pPr>
              <w:jc w:val="both"/>
              <w:rPr>
                <w:rFonts w:ascii="Verdana" w:hAnsi="Verdana"/>
                <w:noProof/>
                <w:sz w:val="20"/>
                <w:szCs w:val="20"/>
              </w:rPr>
            </w:pPr>
            <w:r w:rsidRPr="006D5D6F">
              <w:rPr>
                <w:rFonts w:ascii="Verdana" w:hAnsi="Verdana"/>
                <w:noProof/>
                <w:sz w:val="20"/>
                <w:szCs w:val="20"/>
              </w:rPr>
              <w:t>BBP: (14/73);(0/2)</w:t>
            </w:r>
          </w:p>
          <w:p w:rsidR="00473A7B" w:rsidRPr="006D5D6F" w:rsidRDefault="00473A7B" w:rsidP="00990ADD">
            <w:pPr>
              <w:jc w:val="both"/>
              <w:rPr>
                <w:rFonts w:ascii="Verdana" w:hAnsi="Verdana"/>
                <w:noProof/>
                <w:sz w:val="20"/>
                <w:szCs w:val="20"/>
              </w:rPr>
            </w:pPr>
            <w:r w:rsidRPr="006D5D6F">
              <w:rPr>
                <w:rFonts w:ascii="Verdana" w:hAnsi="Verdana"/>
                <w:noProof/>
                <w:sz w:val="20"/>
                <w:szCs w:val="20"/>
              </w:rPr>
              <w:t>DBP: (43/97);(2,6/5)</w:t>
            </w:r>
          </w:p>
          <w:p w:rsidR="00473A7B" w:rsidRPr="006D5D6F" w:rsidRDefault="00473A7B" w:rsidP="00990ADD">
            <w:pPr>
              <w:jc w:val="both"/>
              <w:rPr>
                <w:rFonts w:ascii="Verdana" w:hAnsi="Verdana"/>
                <w:noProof/>
                <w:sz w:val="20"/>
                <w:szCs w:val="20"/>
              </w:rPr>
            </w:pPr>
            <w:r w:rsidRPr="006D5D6F">
              <w:rPr>
                <w:rFonts w:ascii="Verdana" w:hAnsi="Verdana"/>
                <w:noProof/>
                <w:sz w:val="20"/>
                <w:szCs w:val="20"/>
              </w:rPr>
              <w:t>DIDP: (18/21);(5/5)</w:t>
            </w:r>
          </w:p>
          <w:p w:rsidR="00473A7B" w:rsidRPr="006D5D6F" w:rsidRDefault="00473A7B" w:rsidP="00990ADD">
            <w:pPr>
              <w:jc w:val="both"/>
              <w:rPr>
                <w:rFonts w:ascii="Verdana" w:hAnsi="Verdana"/>
                <w:noProof/>
                <w:sz w:val="20"/>
                <w:szCs w:val="20"/>
              </w:rPr>
            </w:pPr>
            <w:r w:rsidRPr="006D5D6F">
              <w:rPr>
                <w:rFonts w:ascii="Verdana" w:hAnsi="Verdana"/>
                <w:noProof/>
                <w:sz w:val="20"/>
                <w:szCs w:val="20"/>
              </w:rPr>
              <w:t>DEHP: (138/47);(0,1/2).</w:t>
            </w:r>
          </w:p>
          <w:p w:rsidR="00473A7B" w:rsidRPr="006D5D6F" w:rsidRDefault="00473A7B" w:rsidP="00990ADD">
            <w:pPr>
              <w:jc w:val="both"/>
              <w:rPr>
                <w:rFonts w:ascii="Verdana" w:hAnsi="Verdana"/>
                <w:noProof/>
                <w:sz w:val="20"/>
                <w:szCs w:val="20"/>
              </w:rPr>
            </w:pPr>
            <w:r w:rsidRPr="006D5D6F">
              <w:rPr>
                <w:rFonts w:ascii="Verdana" w:hAnsi="Verdana"/>
                <w:noProof/>
                <w:sz w:val="20"/>
                <w:szCs w:val="20"/>
              </w:rPr>
              <w:t xml:space="preserve">This information suggests that alternatives are available for most purposes. However, we do not know much about imported products. </w:t>
            </w:r>
          </w:p>
          <w:p w:rsidR="00473A7B" w:rsidRPr="006D5D6F" w:rsidRDefault="00473A7B" w:rsidP="00990ADD">
            <w:pPr>
              <w:jc w:val="both"/>
              <w:rPr>
                <w:rFonts w:ascii="Verdana" w:hAnsi="Verdana"/>
                <w:noProof/>
                <w:sz w:val="20"/>
                <w:szCs w:val="20"/>
              </w:rPr>
            </w:pPr>
            <w:r w:rsidRPr="006D5D6F">
              <w:rPr>
                <w:rFonts w:ascii="Verdana" w:hAnsi="Verdana"/>
                <w:noProof/>
                <w:sz w:val="20"/>
                <w:szCs w:val="20"/>
              </w:rPr>
              <w:t xml:space="preserve">Analyses of products on the Norwegian market show some findings of phthalates. In 2009 mittens for children were taken off the market due to findings of DEHP (13, 21 %). </w:t>
            </w:r>
          </w:p>
          <w:p w:rsidR="00473A7B" w:rsidRPr="006D5D6F" w:rsidRDefault="00473A7B" w:rsidP="00990ADD">
            <w:pPr>
              <w:jc w:val="both"/>
              <w:rPr>
                <w:rFonts w:ascii="Verdana" w:hAnsi="Verdana"/>
                <w:noProof/>
                <w:sz w:val="20"/>
                <w:szCs w:val="20"/>
              </w:rPr>
            </w:pPr>
            <w:r w:rsidRPr="006D5D6F">
              <w:rPr>
                <w:rFonts w:ascii="Verdana" w:hAnsi="Verdana"/>
                <w:noProof/>
                <w:sz w:val="20"/>
                <w:szCs w:val="20"/>
              </w:rPr>
              <w:t>Preliminary results for analyses done in 2011, as of yet unpublished, show that 3 out 31 products contained phthalates.</w:t>
            </w:r>
          </w:p>
          <w:p w:rsidR="00473A7B" w:rsidRPr="006D5D6F" w:rsidRDefault="00473A7B" w:rsidP="00990ADD">
            <w:pPr>
              <w:jc w:val="both"/>
              <w:rPr>
                <w:rFonts w:ascii="Verdana" w:hAnsi="Verdana"/>
                <w:noProof/>
                <w:sz w:val="20"/>
                <w:szCs w:val="20"/>
              </w:rPr>
            </w:pPr>
            <w:r w:rsidRPr="006D5D6F">
              <w:rPr>
                <w:rFonts w:ascii="Verdana" w:hAnsi="Verdana"/>
                <w:noProof/>
                <w:sz w:val="20"/>
                <w:szCs w:val="20"/>
              </w:rPr>
              <w:lastRenderedPageBreak/>
              <w:t>See attachment for details and more data.</w:t>
            </w:r>
          </w:p>
        </w:tc>
        <w:tc>
          <w:tcPr>
            <w:tcW w:w="1060" w:type="pct"/>
            <w:gridSpan w:val="2"/>
            <w:vMerge w:val="restart"/>
          </w:tcPr>
          <w:p w:rsidR="00473A7B" w:rsidRPr="006D5D6F" w:rsidRDefault="00473A7B" w:rsidP="00990ADD">
            <w:pPr>
              <w:jc w:val="both"/>
              <w:rPr>
                <w:rFonts w:ascii="Verdana" w:hAnsi="Verdana"/>
                <w:sz w:val="20"/>
                <w:szCs w:val="20"/>
              </w:rPr>
            </w:pPr>
            <w:r w:rsidRPr="006D5D6F">
              <w:rPr>
                <w:rFonts w:ascii="Verdana" w:hAnsi="Verdana"/>
                <w:sz w:val="20"/>
                <w:szCs w:val="20"/>
              </w:rPr>
              <w:lastRenderedPageBreak/>
              <w:t>Thank you for this information. The data presented are in line with the argumentation in the BD.</w:t>
            </w:r>
          </w:p>
        </w:tc>
        <w:tc>
          <w:tcPr>
            <w:tcW w:w="999" w:type="pct"/>
            <w:vMerge w:val="restart"/>
          </w:tcPr>
          <w:p w:rsidR="00473A7B" w:rsidRPr="006D5D6F" w:rsidRDefault="00473A7B" w:rsidP="00990ADD">
            <w:pPr>
              <w:jc w:val="both"/>
              <w:rPr>
                <w:rFonts w:ascii="Verdana" w:hAnsi="Verdana"/>
                <w:b/>
                <w:sz w:val="20"/>
                <w:szCs w:val="20"/>
              </w:rPr>
            </w:pPr>
            <w:r w:rsidRPr="006D5D6F">
              <w:rPr>
                <w:rFonts w:ascii="Verdana" w:hAnsi="Verdana"/>
                <w:b/>
                <w:sz w:val="20"/>
                <w:szCs w:val="20"/>
              </w:rPr>
              <w:t>RAC</w:t>
            </w:r>
            <w:r w:rsidR="00A14892">
              <w:rPr>
                <w:rFonts w:ascii="Verdana" w:hAnsi="Verdana"/>
                <w:b/>
                <w:sz w:val="20"/>
                <w:szCs w:val="20"/>
              </w:rPr>
              <w:t xml:space="preserve"> and SEAC</w:t>
            </w:r>
            <w:r w:rsidRPr="006D5D6F">
              <w:rPr>
                <w:rFonts w:ascii="Verdana" w:hAnsi="Verdana"/>
                <w:sz w:val="20"/>
                <w:szCs w:val="20"/>
              </w:rPr>
              <w:t>: No further comments.</w:t>
            </w:r>
          </w:p>
        </w:tc>
      </w:tr>
      <w:tr w:rsidR="00473A7B" w:rsidRPr="006D5D6F" w:rsidTr="00EB27EF">
        <w:trPr>
          <w:trHeight w:val="584"/>
        </w:trPr>
        <w:tc>
          <w:tcPr>
            <w:tcW w:w="235" w:type="pct"/>
            <w:vMerge/>
          </w:tcPr>
          <w:p w:rsidR="00473A7B" w:rsidRPr="006D5D6F" w:rsidRDefault="00473A7B" w:rsidP="00EB27EF">
            <w:pPr>
              <w:jc w:val="center"/>
              <w:rPr>
                <w:rFonts w:ascii="Verdana" w:hAnsi="Verdana"/>
                <w:b/>
                <w:noProof/>
                <w:sz w:val="20"/>
                <w:szCs w:val="20"/>
              </w:rPr>
            </w:pPr>
          </w:p>
        </w:tc>
        <w:tc>
          <w:tcPr>
            <w:tcW w:w="1060" w:type="pct"/>
            <w:vMerge/>
          </w:tcPr>
          <w:p w:rsidR="00473A7B" w:rsidRPr="006D5D6F" w:rsidRDefault="00473A7B" w:rsidP="00EB27EF">
            <w:pPr>
              <w:rPr>
                <w:rFonts w:ascii="Verdana" w:hAnsi="Verdana"/>
                <w:sz w:val="20"/>
                <w:szCs w:val="20"/>
              </w:rPr>
            </w:pPr>
          </w:p>
        </w:tc>
        <w:tc>
          <w:tcPr>
            <w:tcW w:w="1646" w:type="pct"/>
          </w:tcPr>
          <w:p w:rsidR="00473A7B" w:rsidRPr="006D5D6F" w:rsidRDefault="00473A7B" w:rsidP="00990ADD">
            <w:pPr>
              <w:jc w:val="both"/>
              <w:rPr>
                <w:rFonts w:ascii="Verdana" w:hAnsi="Verdana"/>
                <w:noProof/>
                <w:sz w:val="20"/>
                <w:szCs w:val="20"/>
              </w:rPr>
            </w:pPr>
            <w:r w:rsidRPr="006D5D6F">
              <w:rPr>
                <w:rFonts w:ascii="Verdana" w:hAnsi="Verdana"/>
                <w:noProof/>
                <w:sz w:val="20"/>
                <w:szCs w:val="20"/>
              </w:rPr>
              <w:t>The remaining comments are addressed in Table II H 07; 10 and 17.</w:t>
            </w:r>
          </w:p>
        </w:tc>
        <w:tc>
          <w:tcPr>
            <w:tcW w:w="1060" w:type="pct"/>
            <w:gridSpan w:val="2"/>
            <w:vMerge/>
          </w:tcPr>
          <w:p w:rsidR="00473A7B" w:rsidRPr="006D5D6F" w:rsidRDefault="00473A7B" w:rsidP="00990ADD">
            <w:pPr>
              <w:jc w:val="both"/>
              <w:rPr>
                <w:rFonts w:ascii="Verdana" w:hAnsi="Verdana"/>
                <w:sz w:val="20"/>
                <w:szCs w:val="20"/>
              </w:rPr>
            </w:pPr>
          </w:p>
        </w:tc>
        <w:tc>
          <w:tcPr>
            <w:tcW w:w="999" w:type="pct"/>
            <w:vMerge/>
          </w:tcPr>
          <w:p w:rsidR="00473A7B" w:rsidRPr="006D5D6F" w:rsidRDefault="00473A7B" w:rsidP="00990ADD">
            <w:pPr>
              <w:jc w:val="both"/>
              <w:rPr>
                <w:rFonts w:ascii="Verdana" w:hAnsi="Verdana"/>
                <w:b/>
                <w:sz w:val="20"/>
                <w:szCs w:val="20"/>
              </w:rPr>
            </w:pPr>
          </w:p>
        </w:tc>
      </w:tr>
      <w:tr w:rsidR="00473A7B" w:rsidRPr="006D5D6F" w:rsidTr="00EB27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5"/>
        </w:trPr>
        <w:tc>
          <w:tcPr>
            <w:tcW w:w="235" w:type="pct"/>
            <w:vMerge w:val="restart"/>
          </w:tcPr>
          <w:p w:rsidR="00473A7B" w:rsidRPr="006D5D6F" w:rsidRDefault="00473A7B" w:rsidP="00EB27EF">
            <w:pPr>
              <w:jc w:val="center"/>
              <w:rPr>
                <w:rFonts w:ascii="Verdana" w:hAnsi="Verdana"/>
                <w:b/>
                <w:noProof/>
                <w:sz w:val="20"/>
                <w:szCs w:val="20"/>
              </w:rPr>
            </w:pPr>
            <w:r w:rsidRPr="006D5D6F">
              <w:rPr>
                <w:rFonts w:ascii="Verdana" w:hAnsi="Verdana"/>
                <w:b/>
                <w:noProof/>
                <w:sz w:val="20"/>
                <w:szCs w:val="20"/>
              </w:rPr>
              <w:t>124</w:t>
            </w:r>
          </w:p>
        </w:tc>
        <w:tc>
          <w:tcPr>
            <w:tcW w:w="1060" w:type="pct"/>
            <w:vMerge w:val="restart"/>
          </w:tcPr>
          <w:p w:rsidR="00473A7B" w:rsidRPr="006D5D6F" w:rsidRDefault="00473A7B" w:rsidP="00EB27EF">
            <w:pPr>
              <w:rPr>
                <w:rFonts w:ascii="Verdana" w:hAnsi="Verdana"/>
                <w:sz w:val="20"/>
                <w:szCs w:val="20"/>
              </w:rPr>
            </w:pPr>
            <w:smartTag w:uri="urn:schemas-microsoft-com:office:smarttags" w:element="country-region">
              <w:smartTag w:uri="urn:schemas-microsoft-com:office:smarttags" w:element="place">
                <w:r w:rsidRPr="006D5D6F">
                  <w:rPr>
                    <w:rFonts w:ascii="Verdana" w:hAnsi="Verdana"/>
                    <w:noProof/>
                    <w:sz w:val="20"/>
                    <w:szCs w:val="20"/>
                  </w:rPr>
                  <w:t>Belgium</w:t>
                </w:r>
              </w:smartTag>
            </w:smartTag>
            <w:r w:rsidRPr="006D5D6F">
              <w:rPr>
                <w:rFonts w:ascii="Verdana" w:hAnsi="Verdana"/>
                <w:sz w:val="20"/>
                <w:szCs w:val="20"/>
              </w:rPr>
              <w:t xml:space="preserve"> / </w:t>
            </w:r>
            <w:r w:rsidRPr="006D5D6F">
              <w:rPr>
                <w:rFonts w:ascii="Verdana" w:hAnsi="Verdana"/>
                <w:noProof/>
                <w:sz w:val="20"/>
                <w:szCs w:val="20"/>
              </w:rPr>
              <w:t>Industry or trade association</w:t>
            </w:r>
            <w:r w:rsidRPr="006D5D6F">
              <w:rPr>
                <w:rFonts w:ascii="Verdana" w:hAnsi="Verdana"/>
                <w:sz w:val="20"/>
                <w:szCs w:val="20"/>
              </w:rPr>
              <w:t xml:space="preserve"> / </w:t>
            </w:r>
            <w:r w:rsidRPr="006D5D6F">
              <w:rPr>
                <w:rFonts w:ascii="Verdana" w:hAnsi="Verdana"/>
                <w:noProof/>
                <w:sz w:val="20"/>
                <w:szCs w:val="20"/>
              </w:rPr>
              <w:t>DIGITALEUROPE</w:t>
            </w:r>
            <w:r w:rsidRPr="006D5D6F">
              <w:rPr>
                <w:rFonts w:ascii="Verdana" w:hAnsi="Verdana"/>
                <w:sz w:val="20"/>
                <w:szCs w:val="20"/>
              </w:rPr>
              <w:t xml:space="preserve">  </w:t>
            </w:r>
          </w:p>
          <w:p w:rsidR="00473A7B" w:rsidRPr="006D5D6F" w:rsidRDefault="00990ADD" w:rsidP="00EB27EF">
            <w:pPr>
              <w:jc w:val="both"/>
              <w:rPr>
                <w:rFonts w:ascii="Verdana" w:hAnsi="Verdana"/>
                <w:noProof/>
                <w:sz w:val="20"/>
                <w:szCs w:val="20"/>
              </w:rPr>
            </w:pPr>
            <w:r w:rsidRPr="006D5D6F">
              <w:rPr>
                <w:rFonts w:ascii="Verdana" w:hAnsi="Verdana"/>
                <w:sz w:val="20"/>
                <w:szCs w:val="20"/>
              </w:rPr>
              <w:object w:dxaOrig="1534" w:dyaOrig="993">
                <v:shape id="_x0000_i1029" type="#_x0000_t75" style="width:76.5pt;height:49.5pt" o:ole="">
                  <v:imagedata r:id="rId22" o:title=""/>
                </v:shape>
                <o:OLEObject Type="Embed" ProgID="AcroExch.Document.DC" ShapeID="_x0000_i1029" DrawAspect="Icon" ObjectID="_1594549405" r:id="rId23"/>
              </w:object>
            </w:r>
          </w:p>
        </w:tc>
        <w:tc>
          <w:tcPr>
            <w:tcW w:w="1646" w:type="pct"/>
          </w:tcPr>
          <w:p w:rsidR="00473A7B" w:rsidRPr="006D5D6F" w:rsidRDefault="00473A7B" w:rsidP="00990ADD">
            <w:pPr>
              <w:jc w:val="both"/>
              <w:rPr>
                <w:rFonts w:ascii="Verdana" w:hAnsi="Verdana"/>
                <w:noProof/>
                <w:sz w:val="20"/>
                <w:szCs w:val="20"/>
              </w:rPr>
            </w:pPr>
            <w:r w:rsidRPr="006D5D6F">
              <w:rPr>
                <w:rFonts w:ascii="Verdana" w:hAnsi="Verdana"/>
                <w:noProof/>
                <w:sz w:val="20"/>
                <w:szCs w:val="20"/>
              </w:rPr>
              <w:t>The report suggests a transitional period of 12 months from entry into force of the ban. DIGITALEUROPE requests that the timeline for these restrictions be aligned with that for the authorization of these substances. Any restriction should not be effective before the authorization sunset date (e.g. 21. February 2015 for DEHP, BBP, DBP).</w:t>
            </w:r>
          </w:p>
        </w:tc>
        <w:tc>
          <w:tcPr>
            <w:tcW w:w="1060" w:type="pct"/>
            <w:gridSpan w:val="2"/>
            <w:vMerge w:val="restart"/>
          </w:tcPr>
          <w:p w:rsidR="00473A7B" w:rsidRPr="006D5D6F" w:rsidRDefault="00473A7B" w:rsidP="00990ADD">
            <w:pPr>
              <w:jc w:val="both"/>
              <w:rPr>
                <w:rFonts w:ascii="Verdana" w:hAnsi="Verdana"/>
                <w:b/>
                <w:sz w:val="20"/>
                <w:szCs w:val="20"/>
              </w:rPr>
            </w:pPr>
            <w:r w:rsidRPr="006D5D6F">
              <w:rPr>
                <w:rFonts w:ascii="Verdana" w:hAnsi="Verdana"/>
                <w:sz w:val="20"/>
                <w:szCs w:val="20"/>
              </w:rPr>
              <w:t>We will look into this and consider if this could apply for at least some of the articles.</w:t>
            </w:r>
          </w:p>
        </w:tc>
        <w:tc>
          <w:tcPr>
            <w:tcW w:w="999" w:type="pct"/>
            <w:vMerge w:val="restart"/>
          </w:tcPr>
          <w:p w:rsidR="00473A7B" w:rsidRPr="006D5D6F" w:rsidRDefault="00473A7B" w:rsidP="00990ADD">
            <w:pPr>
              <w:jc w:val="both"/>
              <w:rPr>
                <w:rFonts w:ascii="Verdana" w:hAnsi="Verdana"/>
                <w:b/>
                <w:sz w:val="20"/>
                <w:szCs w:val="20"/>
              </w:rPr>
            </w:pPr>
            <w:r w:rsidRPr="006D5D6F">
              <w:rPr>
                <w:rFonts w:ascii="Verdana" w:hAnsi="Verdana"/>
                <w:b/>
                <w:sz w:val="20"/>
                <w:szCs w:val="20"/>
              </w:rPr>
              <w:t>RAC and SEAC</w:t>
            </w:r>
            <w:r w:rsidRPr="006D5D6F">
              <w:rPr>
                <w:rFonts w:ascii="Verdana" w:hAnsi="Verdana"/>
                <w:sz w:val="20"/>
                <w:szCs w:val="20"/>
              </w:rPr>
              <w:t>: As the restriction proposal is not supported by the Committees this issue has limited relevance.</w:t>
            </w:r>
          </w:p>
        </w:tc>
      </w:tr>
      <w:tr w:rsidR="00473A7B" w:rsidRPr="006D5D6F" w:rsidTr="00EB27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trPr>
        <w:tc>
          <w:tcPr>
            <w:tcW w:w="235" w:type="pct"/>
            <w:vMerge/>
          </w:tcPr>
          <w:p w:rsidR="00473A7B" w:rsidRPr="006D5D6F" w:rsidRDefault="00473A7B" w:rsidP="00EB27EF">
            <w:pPr>
              <w:jc w:val="center"/>
              <w:rPr>
                <w:rFonts w:ascii="Verdana" w:hAnsi="Verdana"/>
                <w:b/>
                <w:noProof/>
                <w:sz w:val="20"/>
                <w:szCs w:val="20"/>
              </w:rPr>
            </w:pPr>
          </w:p>
        </w:tc>
        <w:tc>
          <w:tcPr>
            <w:tcW w:w="1060" w:type="pct"/>
            <w:vMerge/>
          </w:tcPr>
          <w:p w:rsidR="00473A7B" w:rsidRPr="006D5D6F" w:rsidRDefault="00473A7B" w:rsidP="00EB27EF">
            <w:pPr>
              <w:jc w:val="both"/>
              <w:rPr>
                <w:rFonts w:ascii="Verdana" w:hAnsi="Verdana"/>
                <w:noProof/>
                <w:sz w:val="20"/>
                <w:szCs w:val="20"/>
              </w:rPr>
            </w:pPr>
          </w:p>
        </w:tc>
        <w:tc>
          <w:tcPr>
            <w:tcW w:w="1646" w:type="pct"/>
          </w:tcPr>
          <w:p w:rsidR="00473A7B" w:rsidRPr="006D5D6F" w:rsidRDefault="00473A7B" w:rsidP="00EB27EF">
            <w:pPr>
              <w:jc w:val="both"/>
              <w:rPr>
                <w:rFonts w:ascii="Verdana" w:hAnsi="Verdana"/>
                <w:noProof/>
                <w:sz w:val="20"/>
                <w:szCs w:val="20"/>
              </w:rPr>
            </w:pPr>
            <w:r w:rsidRPr="006D5D6F">
              <w:rPr>
                <w:rFonts w:ascii="Verdana" w:hAnsi="Verdana"/>
                <w:noProof/>
                <w:sz w:val="20"/>
                <w:szCs w:val="20"/>
              </w:rPr>
              <w:t>The remaining comments are addressed in Table II H 07.</w:t>
            </w:r>
          </w:p>
        </w:tc>
        <w:tc>
          <w:tcPr>
            <w:tcW w:w="1060" w:type="pct"/>
            <w:gridSpan w:val="2"/>
            <w:vMerge/>
          </w:tcPr>
          <w:p w:rsidR="00473A7B" w:rsidRPr="006D5D6F" w:rsidRDefault="00473A7B" w:rsidP="00EB27EF">
            <w:pPr>
              <w:jc w:val="both"/>
              <w:rPr>
                <w:rFonts w:ascii="Verdana" w:hAnsi="Verdana"/>
                <w:sz w:val="20"/>
                <w:szCs w:val="20"/>
                <w:highlight w:val="yellow"/>
              </w:rPr>
            </w:pPr>
          </w:p>
        </w:tc>
        <w:tc>
          <w:tcPr>
            <w:tcW w:w="999" w:type="pct"/>
            <w:vMerge/>
          </w:tcPr>
          <w:p w:rsidR="00473A7B" w:rsidRPr="006D5D6F" w:rsidRDefault="00473A7B" w:rsidP="00EB27EF">
            <w:pPr>
              <w:jc w:val="both"/>
              <w:rPr>
                <w:rFonts w:ascii="Verdana" w:hAnsi="Verdana"/>
                <w:sz w:val="20"/>
                <w:szCs w:val="20"/>
              </w:rPr>
            </w:pPr>
          </w:p>
        </w:tc>
      </w:tr>
      <w:tr w:rsidR="00473A7B" w:rsidRPr="006D5D6F" w:rsidTr="00EB27EF">
        <w:trPr>
          <w:trHeight w:val="1105"/>
        </w:trPr>
        <w:tc>
          <w:tcPr>
            <w:tcW w:w="235" w:type="pct"/>
            <w:vMerge w:val="restart"/>
          </w:tcPr>
          <w:p w:rsidR="00473A7B" w:rsidRPr="006D5D6F" w:rsidRDefault="00473A7B" w:rsidP="00EB27EF">
            <w:pPr>
              <w:jc w:val="center"/>
              <w:rPr>
                <w:rFonts w:ascii="Verdana" w:hAnsi="Verdana"/>
                <w:b/>
                <w:noProof/>
                <w:sz w:val="20"/>
                <w:szCs w:val="20"/>
              </w:rPr>
            </w:pPr>
            <w:r w:rsidRPr="006D5D6F">
              <w:rPr>
                <w:rFonts w:ascii="Verdana" w:hAnsi="Verdana"/>
                <w:b/>
                <w:noProof/>
                <w:sz w:val="20"/>
                <w:szCs w:val="20"/>
              </w:rPr>
              <w:lastRenderedPageBreak/>
              <w:t>122</w:t>
            </w:r>
          </w:p>
        </w:tc>
        <w:tc>
          <w:tcPr>
            <w:tcW w:w="1060" w:type="pct"/>
            <w:vMerge w:val="restart"/>
          </w:tcPr>
          <w:p w:rsidR="00473A7B" w:rsidRPr="006D5D6F" w:rsidRDefault="00473A7B" w:rsidP="00EB27EF">
            <w:pPr>
              <w:jc w:val="both"/>
              <w:rPr>
                <w:rFonts w:ascii="Verdana" w:hAnsi="Verdana"/>
                <w:noProof/>
                <w:sz w:val="20"/>
                <w:szCs w:val="20"/>
              </w:rPr>
            </w:pPr>
            <w:smartTag w:uri="urn:schemas-microsoft-com:office:smarttags" w:element="country-region">
              <w:smartTag w:uri="urn:schemas-microsoft-com:office:smarttags" w:element="place">
                <w:r w:rsidRPr="006D5D6F">
                  <w:rPr>
                    <w:rFonts w:ascii="Verdana" w:hAnsi="Verdana"/>
                    <w:noProof/>
                    <w:sz w:val="20"/>
                    <w:szCs w:val="20"/>
                  </w:rPr>
                  <w:t>Japan</w:t>
                </w:r>
              </w:smartTag>
            </w:smartTag>
            <w:r w:rsidRPr="006D5D6F">
              <w:rPr>
                <w:rFonts w:ascii="Verdana" w:hAnsi="Verdana"/>
                <w:sz w:val="20"/>
                <w:szCs w:val="20"/>
              </w:rPr>
              <w:t xml:space="preserve"> / </w:t>
            </w:r>
            <w:r w:rsidRPr="006D5D6F">
              <w:rPr>
                <w:rFonts w:ascii="Verdana" w:hAnsi="Verdana"/>
                <w:noProof/>
                <w:sz w:val="20"/>
                <w:szCs w:val="20"/>
              </w:rPr>
              <w:t>Industry or trade association</w:t>
            </w:r>
            <w:r w:rsidRPr="006D5D6F">
              <w:rPr>
                <w:rFonts w:ascii="Verdana" w:hAnsi="Verdana"/>
                <w:sz w:val="20"/>
                <w:szCs w:val="20"/>
              </w:rPr>
              <w:t xml:space="preserve"> / </w:t>
            </w:r>
            <w:r w:rsidRPr="006D5D6F">
              <w:rPr>
                <w:rFonts w:ascii="Verdana" w:hAnsi="Verdana"/>
                <w:noProof/>
                <w:sz w:val="20"/>
                <w:szCs w:val="20"/>
              </w:rPr>
              <w:t>I.F.A</w:t>
            </w:r>
          </w:p>
        </w:tc>
        <w:tc>
          <w:tcPr>
            <w:tcW w:w="1646" w:type="pct"/>
          </w:tcPr>
          <w:p w:rsidR="00473A7B" w:rsidRPr="006D5D6F" w:rsidRDefault="00473A7B" w:rsidP="00990ADD">
            <w:pPr>
              <w:jc w:val="both"/>
              <w:rPr>
                <w:rFonts w:ascii="Verdana" w:hAnsi="Verdana"/>
                <w:noProof/>
                <w:sz w:val="20"/>
                <w:szCs w:val="20"/>
              </w:rPr>
            </w:pPr>
            <w:r w:rsidRPr="006D5D6F">
              <w:rPr>
                <w:rFonts w:ascii="Verdana" w:hAnsi="Verdana"/>
                <w:noProof/>
                <w:sz w:val="20"/>
                <w:szCs w:val="20"/>
              </w:rPr>
              <w:t>Although the production volume for EU is not substantial amount, approximately more than 100,000 sqm/year, we have produced 60 million sqm/year of vinyl floor covering.</w:t>
            </w:r>
          </w:p>
          <w:p w:rsidR="00473A7B" w:rsidRPr="006D5D6F" w:rsidRDefault="00473A7B" w:rsidP="00990ADD">
            <w:pPr>
              <w:jc w:val="both"/>
              <w:rPr>
                <w:rFonts w:ascii="Verdana" w:hAnsi="Verdana"/>
                <w:noProof/>
                <w:sz w:val="20"/>
                <w:szCs w:val="20"/>
              </w:rPr>
            </w:pPr>
            <w:r w:rsidRPr="006D5D6F">
              <w:rPr>
                <w:rFonts w:ascii="Verdana" w:hAnsi="Verdana"/>
                <w:noProof/>
                <w:sz w:val="20"/>
                <w:szCs w:val="20"/>
              </w:rPr>
              <w:t>Needless to say, the consumption of DEHP is substantial amount.</w:t>
            </w:r>
          </w:p>
          <w:p w:rsidR="00473A7B" w:rsidRPr="006D5D6F" w:rsidRDefault="00473A7B" w:rsidP="00990ADD">
            <w:pPr>
              <w:jc w:val="both"/>
              <w:rPr>
                <w:rFonts w:ascii="Verdana" w:hAnsi="Verdana"/>
                <w:noProof/>
                <w:sz w:val="20"/>
                <w:szCs w:val="20"/>
              </w:rPr>
            </w:pPr>
            <w:r w:rsidRPr="006D5D6F">
              <w:rPr>
                <w:rFonts w:ascii="Verdana" w:hAnsi="Verdana"/>
                <w:noProof/>
                <w:sz w:val="20"/>
                <w:szCs w:val="20"/>
              </w:rPr>
              <w:t>The concentration of DEHP in the article is approximately 30%.</w:t>
            </w:r>
          </w:p>
        </w:tc>
        <w:tc>
          <w:tcPr>
            <w:tcW w:w="1060" w:type="pct"/>
            <w:gridSpan w:val="2"/>
            <w:vMerge w:val="restart"/>
          </w:tcPr>
          <w:p w:rsidR="00473A7B" w:rsidRPr="006D5D6F" w:rsidRDefault="00473A7B" w:rsidP="00990ADD">
            <w:pPr>
              <w:jc w:val="both"/>
              <w:rPr>
                <w:rFonts w:ascii="Verdana" w:hAnsi="Verdana"/>
                <w:b/>
                <w:sz w:val="20"/>
                <w:szCs w:val="20"/>
              </w:rPr>
            </w:pPr>
            <w:r w:rsidRPr="006D5D6F">
              <w:rPr>
                <w:rFonts w:ascii="Verdana" w:hAnsi="Verdana"/>
                <w:sz w:val="20"/>
                <w:szCs w:val="20"/>
              </w:rPr>
              <w:t>Floors are produced in the EU and elsewhere without DEHP as described in detail in the dossier.</w:t>
            </w:r>
          </w:p>
        </w:tc>
        <w:tc>
          <w:tcPr>
            <w:tcW w:w="999" w:type="pct"/>
            <w:vMerge w:val="restart"/>
          </w:tcPr>
          <w:p w:rsidR="00473A7B" w:rsidRPr="006D5D6F" w:rsidRDefault="00473A7B" w:rsidP="00990ADD">
            <w:pPr>
              <w:jc w:val="both"/>
              <w:rPr>
                <w:rFonts w:ascii="Verdana" w:hAnsi="Verdana"/>
                <w:b/>
                <w:sz w:val="20"/>
                <w:szCs w:val="20"/>
              </w:rPr>
            </w:pPr>
            <w:r w:rsidRPr="006D5D6F">
              <w:rPr>
                <w:rFonts w:ascii="Verdana" w:hAnsi="Verdana"/>
                <w:b/>
                <w:sz w:val="20"/>
                <w:szCs w:val="20"/>
              </w:rPr>
              <w:t>RAC and SEAC</w:t>
            </w:r>
            <w:r w:rsidRPr="006D5D6F">
              <w:rPr>
                <w:rFonts w:ascii="Verdana" w:hAnsi="Verdana"/>
                <w:sz w:val="20"/>
                <w:szCs w:val="20"/>
              </w:rPr>
              <w:t>: Thank you for the information.</w:t>
            </w:r>
          </w:p>
        </w:tc>
      </w:tr>
      <w:tr w:rsidR="00473A7B" w:rsidRPr="006D5D6F" w:rsidTr="00EB27EF">
        <w:trPr>
          <w:trHeight w:val="449"/>
        </w:trPr>
        <w:tc>
          <w:tcPr>
            <w:tcW w:w="235" w:type="pct"/>
            <w:vMerge/>
          </w:tcPr>
          <w:p w:rsidR="00473A7B" w:rsidRPr="006D5D6F" w:rsidRDefault="00473A7B" w:rsidP="00EB27EF">
            <w:pPr>
              <w:jc w:val="center"/>
              <w:rPr>
                <w:rFonts w:ascii="Verdana" w:hAnsi="Verdana"/>
                <w:b/>
                <w:noProof/>
                <w:sz w:val="20"/>
                <w:szCs w:val="20"/>
              </w:rPr>
            </w:pPr>
          </w:p>
        </w:tc>
        <w:tc>
          <w:tcPr>
            <w:tcW w:w="1060" w:type="pct"/>
            <w:vMerge/>
          </w:tcPr>
          <w:p w:rsidR="00473A7B" w:rsidRPr="006D5D6F" w:rsidRDefault="00473A7B" w:rsidP="00EB27EF">
            <w:pPr>
              <w:jc w:val="both"/>
              <w:rPr>
                <w:rFonts w:ascii="Verdana" w:hAnsi="Verdana"/>
                <w:noProof/>
                <w:sz w:val="20"/>
                <w:szCs w:val="20"/>
              </w:rPr>
            </w:pPr>
          </w:p>
        </w:tc>
        <w:tc>
          <w:tcPr>
            <w:tcW w:w="1646" w:type="pct"/>
          </w:tcPr>
          <w:p w:rsidR="00473A7B" w:rsidRPr="006D5D6F" w:rsidRDefault="00473A7B" w:rsidP="00EB27EF">
            <w:pPr>
              <w:rPr>
                <w:rFonts w:ascii="Verdana" w:hAnsi="Verdana"/>
                <w:noProof/>
                <w:sz w:val="20"/>
                <w:szCs w:val="20"/>
              </w:rPr>
            </w:pPr>
            <w:r w:rsidRPr="006D5D6F">
              <w:rPr>
                <w:rFonts w:ascii="Verdana" w:hAnsi="Verdana"/>
                <w:noProof/>
                <w:sz w:val="20"/>
                <w:szCs w:val="20"/>
              </w:rPr>
              <w:t>The remaining comments are addressed in Table II H 11.</w:t>
            </w:r>
          </w:p>
        </w:tc>
        <w:tc>
          <w:tcPr>
            <w:tcW w:w="1060" w:type="pct"/>
            <w:gridSpan w:val="2"/>
            <w:vMerge/>
          </w:tcPr>
          <w:p w:rsidR="00473A7B" w:rsidRPr="006D5D6F" w:rsidRDefault="00473A7B" w:rsidP="00EB27EF">
            <w:pPr>
              <w:jc w:val="both"/>
              <w:rPr>
                <w:rFonts w:ascii="Verdana" w:hAnsi="Verdana"/>
                <w:sz w:val="20"/>
                <w:szCs w:val="20"/>
              </w:rPr>
            </w:pPr>
          </w:p>
        </w:tc>
        <w:tc>
          <w:tcPr>
            <w:tcW w:w="999" w:type="pct"/>
            <w:vMerge/>
          </w:tcPr>
          <w:p w:rsidR="00473A7B" w:rsidRPr="006D5D6F" w:rsidRDefault="00473A7B" w:rsidP="00EB27EF">
            <w:pPr>
              <w:jc w:val="both"/>
              <w:rPr>
                <w:rFonts w:ascii="Verdana" w:hAnsi="Verdana"/>
                <w:sz w:val="20"/>
                <w:szCs w:val="20"/>
              </w:rPr>
            </w:pPr>
          </w:p>
        </w:tc>
      </w:tr>
    </w:tbl>
    <w:p w:rsidR="00473A7B" w:rsidRPr="008719BD" w:rsidRDefault="00473A7B" w:rsidP="008719BD"/>
    <w:sectPr w:rsidR="00473A7B" w:rsidRPr="008719BD" w:rsidSect="004511B3">
      <w:headerReference w:type="default" r:id="rId24"/>
      <w:footerReference w:type="even" r:id="rId25"/>
      <w:footerReference w:type="default" r:id="rId26"/>
      <w:pgSz w:w="16838" w:h="11906" w:orient="landscape"/>
      <w:pgMar w:top="1797" w:right="1440" w:bottom="1287" w:left="1440" w:header="709" w:footer="108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C28" w:rsidRDefault="00D73C28">
      <w:r>
        <w:separator/>
      </w:r>
    </w:p>
  </w:endnote>
  <w:endnote w:type="continuationSeparator" w:id="0">
    <w:p w:rsidR="00D73C28" w:rsidRDefault="00D7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53F" w:rsidRDefault="005F553F" w:rsidP="004511B3">
    <w:pPr>
      <w:framePr w:wrap="around" w:vAnchor="text" w:hAnchor="margin" w:xAlign="right" w:y="1"/>
    </w:pPr>
    <w:r>
      <w:fldChar w:fldCharType="begin"/>
    </w:r>
    <w:r>
      <w:instrText xml:space="preserve">PAGE  </w:instrText>
    </w:r>
    <w:r>
      <w:fldChar w:fldCharType="end"/>
    </w:r>
  </w:p>
  <w:p w:rsidR="005F553F" w:rsidRDefault="005F553F" w:rsidP="00EB27EF">
    <w:pPr>
      <w:ind w:right="360"/>
      <w:rPr>
        <w:rStyle w:val="Kursiivi"/>
        <w:rFonts w:ascii="Times New Roman" w:hAnsi="Times New Roman"/>
        <w:i w:val="0"/>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53F" w:rsidRPr="005D5FB8" w:rsidRDefault="005F553F" w:rsidP="00EB27EF">
    <w:pPr>
      <w:ind w:left="-709"/>
      <w:rPr>
        <w:sz w:val="16"/>
        <w:szCs w:val="16"/>
      </w:rPr>
    </w:pPr>
    <w:r w:rsidRPr="005D5FB8">
      <w:rPr>
        <w:sz w:val="16"/>
        <w:szCs w:val="16"/>
      </w:rPr>
      <w:t xml:space="preserve">*(A) </w:t>
    </w:r>
    <w:r w:rsidRPr="005D5FB8">
      <w:rPr>
        <w:noProof/>
        <w:sz w:val="16"/>
        <w:szCs w:val="16"/>
      </w:rPr>
      <w:t xml:space="preserve">The proposal; </w:t>
    </w:r>
    <w:r w:rsidRPr="005D5FB8">
      <w:rPr>
        <w:sz w:val="16"/>
        <w:szCs w:val="16"/>
      </w:rPr>
      <w:t xml:space="preserve">(B) </w:t>
    </w:r>
    <w:r w:rsidRPr="005D5FB8">
      <w:rPr>
        <w:noProof/>
        <w:sz w:val="16"/>
        <w:szCs w:val="16"/>
      </w:rPr>
      <w:t xml:space="preserve">Information on hazard and risk; </w:t>
    </w:r>
    <w:r w:rsidRPr="005D5FB8">
      <w:rPr>
        <w:sz w:val="16"/>
        <w:szCs w:val="16"/>
      </w:rPr>
      <w:t xml:space="preserve">(C) </w:t>
    </w:r>
    <w:r w:rsidRPr="005D5FB8">
      <w:rPr>
        <w:noProof/>
        <w:sz w:val="16"/>
        <w:szCs w:val="16"/>
      </w:rPr>
      <w:t xml:space="preserve">Available information on alternatives; </w:t>
    </w:r>
    <w:r w:rsidRPr="005D5FB8">
      <w:rPr>
        <w:sz w:val="16"/>
        <w:szCs w:val="16"/>
      </w:rPr>
      <w:t xml:space="preserve">(D) </w:t>
    </w:r>
    <w:r w:rsidRPr="005D5FB8">
      <w:rPr>
        <w:sz w:val="16"/>
        <w:szCs w:val="16"/>
        <w:lang w:val="fi-FI"/>
      </w:rPr>
      <w:t xml:space="preserve">Justification for action on a Community-wide basis; </w:t>
    </w:r>
    <w:r w:rsidRPr="005D5FB8">
      <w:rPr>
        <w:sz w:val="16"/>
        <w:szCs w:val="16"/>
      </w:rPr>
      <w:t xml:space="preserve">(E) </w:t>
    </w:r>
    <w:r w:rsidRPr="005D5FB8">
      <w:rPr>
        <w:noProof/>
        <w:sz w:val="16"/>
        <w:szCs w:val="16"/>
      </w:rPr>
      <w:t>Why a restriction is the most appropriate Community-wide measure; (F) Socio-economic Assessment of Proposed Restriction; (G) Stakeholder consultation; (H) Other information</w:t>
    </w:r>
  </w:p>
  <w:p w:rsidR="005F553F" w:rsidRPr="005D5FB8" w:rsidRDefault="005F553F" w:rsidP="004511B3">
    <w:pPr>
      <w:framePr w:wrap="around" w:vAnchor="text" w:hAnchor="margin" w:xAlign="right" w:y="1"/>
      <w:rPr>
        <w:rFonts w:ascii="Arial" w:hAnsi="Arial" w:cs="Arial"/>
        <w:sz w:val="18"/>
        <w:szCs w:val="18"/>
      </w:rPr>
    </w:pPr>
    <w:r w:rsidRPr="005D5FB8">
      <w:rPr>
        <w:rFonts w:ascii="Arial" w:hAnsi="Arial" w:cs="Arial"/>
        <w:sz w:val="18"/>
        <w:szCs w:val="18"/>
      </w:rPr>
      <w:fldChar w:fldCharType="begin"/>
    </w:r>
    <w:r w:rsidRPr="005D5FB8">
      <w:rPr>
        <w:rFonts w:ascii="Arial" w:hAnsi="Arial" w:cs="Arial"/>
        <w:sz w:val="18"/>
        <w:szCs w:val="18"/>
      </w:rPr>
      <w:instrText xml:space="preserve">PAGE  </w:instrText>
    </w:r>
    <w:r w:rsidRPr="005D5FB8">
      <w:rPr>
        <w:rFonts w:ascii="Arial" w:hAnsi="Arial" w:cs="Arial"/>
        <w:sz w:val="18"/>
        <w:szCs w:val="18"/>
      </w:rPr>
      <w:fldChar w:fldCharType="separate"/>
    </w:r>
    <w:r w:rsidR="00192FBA">
      <w:rPr>
        <w:rFonts w:ascii="Arial" w:hAnsi="Arial" w:cs="Arial"/>
        <w:noProof/>
        <w:sz w:val="18"/>
        <w:szCs w:val="18"/>
      </w:rPr>
      <w:t>2</w:t>
    </w:r>
    <w:r w:rsidRPr="005D5FB8">
      <w:rPr>
        <w:rFonts w:ascii="Arial" w:hAnsi="Arial" w:cs="Arial"/>
        <w:sz w:val="18"/>
        <w:szCs w:val="18"/>
      </w:rPr>
      <w:fldChar w:fldCharType="end"/>
    </w:r>
  </w:p>
  <w:p w:rsidR="005F553F" w:rsidRDefault="005F553F" w:rsidP="00EB27EF">
    <w:pPr>
      <w:ind w:right="360"/>
      <w:rPr>
        <w:rStyle w:val="Kursiivi"/>
        <w:rFonts w:ascii="Times New Roman" w:hAnsi="Times New Roman"/>
        <w:i w:val="0"/>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FB5" w:rsidRDefault="00F76FB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53F" w:rsidRDefault="005F553F" w:rsidP="00C90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553F" w:rsidRDefault="005F553F" w:rsidP="009A3148">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53F" w:rsidRPr="006D5D6F" w:rsidRDefault="005F553F" w:rsidP="00C903E6">
    <w:pPr>
      <w:pStyle w:val="Footer"/>
      <w:framePr w:wrap="around" w:vAnchor="text" w:hAnchor="margin" w:xAlign="right" w:y="1"/>
      <w:rPr>
        <w:rStyle w:val="PageNumber"/>
        <w:rFonts w:ascii="Verdana" w:hAnsi="Verdana"/>
        <w:sz w:val="20"/>
        <w:szCs w:val="20"/>
      </w:rPr>
    </w:pPr>
    <w:r w:rsidRPr="006D5D6F">
      <w:rPr>
        <w:rStyle w:val="PageNumber"/>
        <w:rFonts w:ascii="Verdana" w:hAnsi="Verdana"/>
        <w:sz w:val="20"/>
        <w:szCs w:val="20"/>
      </w:rPr>
      <w:fldChar w:fldCharType="begin"/>
    </w:r>
    <w:r w:rsidRPr="006D5D6F">
      <w:rPr>
        <w:rStyle w:val="PageNumber"/>
        <w:rFonts w:ascii="Verdana" w:hAnsi="Verdana"/>
        <w:sz w:val="20"/>
        <w:szCs w:val="20"/>
      </w:rPr>
      <w:instrText xml:space="preserve">PAGE  </w:instrText>
    </w:r>
    <w:r w:rsidRPr="006D5D6F">
      <w:rPr>
        <w:rStyle w:val="PageNumber"/>
        <w:rFonts w:ascii="Verdana" w:hAnsi="Verdana"/>
        <w:sz w:val="20"/>
        <w:szCs w:val="20"/>
      </w:rPr>
      <w:fldChar w:fldCharType="separate"/>
    </w:r>
    <w:r w:rsidR="00F76FB5">
      <w:rPr>
        <w:rStyle w:val="PageNumber"/>
        <w:rFonts w:ascii="Verdana" w:hAnsi="Verdana"/>
        <w:noProof/>
        <w:sz w:val="20"/>
        <w:szCs w:val="20"/>
      </w:rPr>
      <w:t>21</w:t>
    </w:r>
    <w:r w:rsidRPr="006D5D6F">
      <w:rPr>
        <w:rStyle w:val="PageNumber"/>
        <w:rFonts w:ascii="Verdana" w:hAnsi="Verdana"/>
        <w:sz w:val="20"/>
        <w:szCs w:val="20"/>
      </w:rPr>
      <w:fldChar w:fldCharType="end"/>
    </w:r>
  </w:p>
  <w:p w:rsidR="005F553F" w:rsidRPr="00CE7DA8" w:rsidRDefault="005F553F" w:rsidP="00C12AC2">
    <w:pPr>
      <w:ind w:left="-720" w:right="183"/>
      <w:rPr>
        <w:rFonts w:ascii="Verdana" w:hAnsi="Verdana"/>
        <w:sz w:val="16"/>
        <w:szCs w:val="16"/>
      </w:rPr>
    </w:pPr>
    <w:r w:rsidRPr="00CE7DA8">
      <w:rPr>
        <w:rFonts w:ascii="Verdana" w:hAnsi="Verdana"/>
        <w:sz w:val="16"/>
        <w:szCs w:val="16"/>
      </w:rPr>
      <w:t>*</w:t>
    </w:r>
    <w:r w:rsidRPr="00CE7DA8">
      <w:rPr>
        <w:rFonts w:ascii="Verdana" w:hAnsi="Verdana"/>
        <w:sz w:val="16"/>
        <w:szCs w:val="16"/>
      </w:rPr>
      <w:tab/>
      <w:t xml:space="preserve">(A) </w:t>
    </w:r>
    <w:r w:rsidRPr="00CE7DA8">
      <w:rPr>
        <w:rFonts w:ascii="Verdana" w:hAnsi="Verdana"/>
        <w:noProof/>
        <w:sz w:val="16"/>
        <w:szCs w:val="16"/>
      </w:rPr>
      <w:t xml:space="preserve">The proposal; </w:t>
    </w:r>
    <w:r w:rsidRPr="00CE7DA8">
      <w:rPr>
        <w:rFonts w:ascii="Verdana" w:hAnsi="Verdana"/>
        <w:sz w:val="16"/>
        <w:szCs w:val="16"/>
      </w:rPr>
      <w:t xml:space="preserve">(B) </w:t>
    </w:r>
    <w:r w:rsidRPr="00CE7DA8">
      <w:rPr>
        <w:rFonts w:ascii="Verdana" w:hAnsi="Verdana"/>
        <w:noProof/>
        <w:sz w:val="16"/>
        <w:szCs w:val="16"/>
      </w:rPr>
      <w:t xml:space="preserve">Information on hazard and risk; </w:t>
    </w:r>
    <w:r w:rsidRPr="00CE7DA8">
      <w:rPr>
        <w:rFonts w:ascii="Verdana" w:hAnsi="Verdana"/>
        <w:sz w:val="16"/>
        <w:szCs w:val="16"/>
      </w:rPr>
      <w:t xml:space="preserve">(C) </w:t>
    </w:r>
    <w:r w:rsidRPr="00CE7DA8">
      <w:rPr>
        <w:rFonts w:ascii="Verdana" w:hAnsi="Verdana"/>
        <w:noProof/>
        <w:sz w:val="16"/>
        <w:szCs w:val="16"/>
      </w:rPr>
      <w:t xml:space="preserve">Available information on alternatives; </w:t>
    </w:r>
    <w:r w:rsidRPr="00CE7DA8">
      <w:rPr>
        <w:rFonts w:ascii="Verdana" w:hAnsi="Verdana"/>
        <w:sz w:val="16"/>
        <w:szCs w:val="16"/>
      </w:rPr>
      <w:t xml:space="preserve">(D) Justification for action on a Community-wide basis; (E) </w:t>
    </w:r>
    <w:r w:rsidRPr="00CE7DA8">
      <w:rPr>
        <w:rFonts w:ascii="Verdana" w:hAnsi="Verdana"/>
        <w:noProof/>
        <w:sz w:val="16"/>
        <w:szCs w:val="16"/>
      </w:rPr>
      <w:t>Why a restriction is the most appropriate Community-wide measure; (F) Socio-economic Assessment of Proposed Restriction; (G) Stakeholder consultation; (H) Other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C28" w:rsidRDefault="00D73C28">
      <w:r>
        <w:separator/>
      </w:r>
    </w:p>
  </w:footnote>
  <w:footnote w:type="continuationSeparator" w:id="0">
    <w:p w:rsidR="00D73C28" w:rsidRDefault="00D73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FB5" w:rsidRDefault="00F76F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612" w:type="dxa"/>
      <w:tblLook w:val="01E0" w:firstRow="1" w:lastRow="1" w:firstColumn="1" w:lastColumn="1" w:noHBand="0" w:noVBand="0"/>
    </w:tblPr>
    <w:tblGrid>
      <w:gridCol w:w="5040"/>
      <w:gridCol w:w="5220"/>
    </w:tblGrid>
    <w:tr w:rsidR="005F553F" w:rsidRPr="00380AA2" w:rsidTr="00380AA2">
      <w:tc>
        <w:tcPr>
          <w:tcW w:w="5040" w:type="dxa"/>
        </w:tcPr>
        <w:p w:rsidR="005F553F" w:rsidRPr="00380AA2" w:rsidRDefault="005F553F" w:rsidP="00EB27EF">
          <w:pPr>
            <w:rPr>
              <w:rFonts w:ascii="Verdana" w:hAnsi="Verdana"/>
              <w:b/>
              <w:sz w:val="17"/>
              <w:szCs w:val="17"/>
            </w:rPr>
          </w:pPr>
          <w:r w:rsidRPr="00380AA2">
            <w:rPr>
              <w:rFonts w:ascii="Verdana" w:hAnsi="Verdana"/>
              <w:sz w:val="17"/>
              <w:szCs w:val="17"/>
            </w:rPr>
            <w:t xml:space="preserve">Substance: </w:t>
          </w:r>
          <w:r w:rsidRPr="00380AA2">
            <w:rPr>
              <w:rFonts w:ascii="Verdana" w:hAnsi="Verdana"/>
              <w:b/>
              <w:sz w:val="17"/>
              <w:szCs w:val="17"/>
            </w:rPr>
            <w:t>Diisobutyl phthalate, Dibutyl phthalate, Benzyl butyl phthalate, Bis(2-ethylhexyl) phthalate</w:t>
          </w:r>
        </w:p>
        <w:p w:rsidR="005F553F" w:rsidRPr="00380AA2" w:rsidRDefault="005F553F" w:rsidP="00EB27EF">
          <w:pPr>
            <w:rPr>
              <w:rFonts w:ascii="Verdana" w:hAnsi="Verdana"/>
              <w:b/>
              <w:color w:val="000000"/>
              <w:sz w:val="17"/>
              <w:szCs w:val="17"/>
            </w:rPr>
          </w:pPr>
          <w:r w:rsidRPr="00380AA2">
            <w:rPr>
              <w:rFonts w:ascii="Verdana" w:hAnsi="Verdana"/>
              <w:sz w:val="17"/>
              <w:szCs w:val="17"/>
            </w:rPr>
            <w:t xml:space="preserve">CAS number: </w:t>
          </w:r>
          <w:r w:rsidRPr="00380AA2">
            <w:rPr>
              <w:rFonts w:ascii="Verdana" w:hAnsi="Verdana"/>
              <w:b/>
              <w:color w:val="000000"/>
              <w:sz w:val="17"/>
              <w:szCs w:val="17"/>
            </w:rPr>
            <w:t>84-69-5, 84-74-2, 85-68-7, 117-81-7</w:t>
          </w:r>
        </w:p>
        <w:p w:rsidR="005F553F" w:rsidRPr="00380AA2" w:rsidRDefault="005F553F" w:rsidP="00EB27EF">
          <w:pPr>
            <w:rPr>
              <w:rFonts w:ascii="Verdana" w:hAnsi="Verdana"/>
              <w:sz w:val="17"/>
              <w:szCs w:val="17"/>
            </w:rPr>
          </w:pPr>
          <w:r w:rsidRPr="00380AA2">
            <w:rPr>
              <w:rFonts w:ascii="Verdana" w:hAnsi="Verdana"/>
              <w:sz w:val="17"/>
              <w:szCs w:val="17"/>
            </w:rPr>
            <w:t xml:space="preserve">EC number: </w:t>
          </w:r>
          <w:r w:rsidRPr="00380AA2">
            <w:rPr>
              <w:rFonts w:ascii="Verdana" w:hAnsi="Verdana"/>
              <w:b/>
              <w:sz w:val="17"/>
              <w:szCs w:val="17"/>
            </w:rPr>
            <w:t>201-553-2, 201-557-4, 201-622-7, 204-211-0</w:t>
          </w:r>
        </w:p>
      </w:tc>
      <w:tc>
        <w:tcPr>
          <w:tcW w:w="5220" w:type="dxa"/>
        </w:tcPr>
        <w:p w:rsidR="005F553F" w:rsidRPr="00380AA2" w:rsidRDefault="005F553F" w:rsidP="00380AA2">
          <w:pPr>
            <w:jc w:val="right"/>
            <w:rPr>
              <w:rStyle w:val="PageNumber"/>
              <w:rFonts w:ascii="Verdana" w:hAnsi="Verdana"/>
              <w:sz w:val="17"/>
              <w:szCs w:val="17"/>
              <w:lang w:val="en-US" w:eastAsia="en-US"/>
            </w:rPr>
          </w:pPr>
          <w:r w:rsidRPr="00380AA2">
            <w:rPr>
              <w:rStyle w:val="PageNumber"/>
              <w:rFonts w:ascii="Verdana" w:hAnsi="Verdana"/>
              <w:sz w:val="17"/>
              <w:szCs w:val="17"/>
              <w:lang w:val="en-US" w:eastAsia="en-US"/>
            </w:rPr>
            <w:t>Comments and response to comments on Annex XV restriction report on</w:t>
          </w:r>
          <w:r w:rsidRPr="00380AA2">
            <w:rPr>
              <w:rStyle w:val="PageNumber"/>
              <w:rFonts w:ascii="Verdana" w:hAnsi="Verdana"/>
              <w:b/>
              <w:sz w:val="17"/>
              <w:szCs w:val="17"/>
              <w:lang w:val="en-US" w:eastAsia="en-US"/>
            </w:rPr>
            <w:t xml:space="preserve"> Diisobutyl phthalate, Dibutyl phthalate, Benzyl butyl phthalate, Bis(2-ethylhexyl) phthalate</w:t>
          </w:r>
        </w:p>
        <w:p w:rsidR="005F553F" w:rsidRPr="00380AA2" w:rsidRDefault="005F553F" w:rsidP="00380AA2">
          <w:pPr>
            <w:jc w:val="right"/>
            <w:rPr>
              <w:rStyle w:val="PageNumber"/>
              <w:rFonts w:ascii="Verdana" w:hAnsi="Verdana"/>
              <w:noProof/>
              <w:sz w:val="17"/>
              <w:szCs w:val="17"/>
              <w:lang w:val="en-US" w:eastAsia="en-US"/>
            </w:rPr>
          </w:pPr>
          <w:r w:rsidRPr="00380AA2">
            <w:rPr>
              <w:rStyle w:val="PageNumber"/>
              <w:rFonts w:ascii="Verdana" w:hAnsi="Verdana"/>
              <w:noProof/>
              <w:sz w:val="17"/>
              <w:szCs w:val="17"/>
              <w:lang w:val="en-US" w:eastAsia="en-US"/>
            </w:rPr>
            <w:t xml:space="preserve">Annex XV report submitted by </w:t>
          </w:r>
          <w:smartTag w:uri="urn:schemas-microsoft-com:office:smarttags" w:element="country-region">
            <w:smartTag w:uri="urn:schemas-microsoft-com:office:smarttags" w:element="place">
              <w:r w:rsidRPr="00380AA2">
                <w:rPr>
                  <w:rStyle w:val="PageNumber"/>
                  <w:rFonts w:ascii="Verdana" w:hAnsi="Verdana"/>
                  <w:noProof/>
                  <w:sz w:val="17"/>
                  <w:szCs w:val="17"/>
                  <w:lang w:val="en-US" w:eastAsia="en-US"/>
                </w:rPr>
                <w:t>Denmark</w:t>
              </w:r>
            </w:smartTag>
          </w:smartTag>
          <w:r w:rsidRPr="00380AA2">
            <w:rPr>
              <w:rStyle w:val="PageNumber"/>
              <w:rFonts w:ascii="Verdana" w:hAnsi="Verdana"/>
              <w:noProof/>
              <w:sz w:val="17"/>
              <w:szCs w:val="17"/>
              <w:lang w:val="en-US" w:eastAsia="en-US"/>
            </w:rPr>
            <w:t xml:space="preserve"> 12 August 2011. </w:t>
          </w:r>
        </w:p>
        <w:p w:rsidR="005F553F" w:rsidRPr="00380AA2" w:rsidRDefault="005F553F" w:rsidP="00380AA2">
          <w:pPr>
            <w:jc w:val="right"/>
            <w:rPr>
              <w:rStyle w:val="PageNumber"/>
              <w:rFonts w:ascii="Verdana" w:hAnsi="Verdana"/>
              <w:sz w:val="17"/>
              <w:szCs w:val="17"/>
              <w:lang w:val="en-US" w:eastAsia="en-US"/>
            </w:rPr>
          </w:pPr>
          <w:r w:rsidRPr="00380AA2">
            <w:rPr>
              <w:rStyle w:val="PageNumber"/>
              <w:rFonts w:ascii="Verdana" w:hAnsi="Verdana"/>
              <w:noProof/>
              <w:sz w:val="17"/>
              <w:szCs w:val="17"/>
              <w:lang w:val="en-US" w:eastAsia="en-US"/>
            </w:rPr>
            <w:t>Public consultation on Annex XV report started on 16 September 2011.</w:t>
          </w:r>
        </w:p>
      </w:tc>
    </w:tr>
  </w:tbl>
  <w:p w:rsidR="005F553F" w:rsidRDefault="005F553F">
    <w:pP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FB5" w:rsidRDefault="00F76FB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97" w:type="pct"/>
      <w:tblInd w:w="-612" w:type="dxa"/>
      <w:tblLook w:val="01E0" w:firstRow="1" w:lastRow="1" w:firstColumn="1" w:lastColumn="1" w:noHBand="0" w:noVBand="0"/>
    </w:tblPr>
    <w:tblGrid>
      <w:gridCol w:w="6948"/>
      <w:gridCol w:w="8118"/>
    </w:tblGrid>
    <w:tr w:rsidR="005F553F" w:rsidRPr="00426C3D" w:rsidTr="00DF6DE0">
      <w:trPr>
        <w:trHeight w:val="1073"/>
      </w:trPr>
      <w:tc>
        <w:tcPr>
          <w:tcW w:w="2306" w:type="pct"/>
        </w:tcPr>
        <w:p w:rsidR="005F553F" w:rsidRPr="00426C3D" w:rsidRDefault="005F553F" w:rsidP="00F668DA">
          <w:pPr>
            <w:ind w:left="-108" w:right="-108"/>
            <w:rPr>
              <w:rFonts w:ascii="Verdana" w:hAnsi="Verdana"/>
              <w:b/>
              <w:sz w:val="17"/>
              <w:szCs w:val="17"/>
            </w:rPr>
          </w:pPr>
          <w:r w:rsidRPr="00426C3D">
            <w:rPr>
              <w:rFonts w:ascii="Verdana" w:hAnsi="Verdana"/>
              <w:sz w:val="17"/>
              <w:szCs w:val="17"/>
            </w:rPr>
            <w:t xml:space="preserve">Substance: </w:t>
          </w:r>
          <w:r w:rsidRPr="00426C3D">
            <w:rPr>
              <w:rFonts w:ascii="Verdana" w:hAnsi="Verdana"/>
              <w:b/>
              <w:sz w:val="17"/>
              <w:szCs w:val="17"/>
            </w:rPr>
            <w:t>Diisobutyl phthalate, Dibutyl phthalate, Benzyl butyl phthalate, Bis(2-ethylhexyl) phthalate</w:t>
          </w:r>
        </w:p>
        <w:p w:rsidR="005F553F" w:rsidRPr="00426C3D" w:rsidRDefault="005F553F" w:rsidP="00F668DA">
          <w:pPr>
            <w:ind w:left="-108" w:right="-108"/>
            <w:rPr>
              <w:rFonts w:ascii="Verdana" w:hAnsi="Verdana"/>
              <w:b/>
              <w:color w:val="000000"/>
              <w:sz w:val="17"/>
              <w:szCs w:val="17"/>
            </w:rPr>
          </w:pPr>
          <w:r w:rsidRPr="00426C3D">
            <w:rPr>
              <w:rFonts w:ascii="Verdana" w:hAnsi="Verdana"/>
              <w:sz w:val="17"/>
              <w:szCs w:val="17"/>
            </w:rPr>
            <w:t xml:space="preserve">CAS number: </w:t>
          </w:r>
          <w:r w:rsidRPr="00426C3D">
            <w:rPr>
              <w:rFonts w:ascii="Verdana" w:hAnsi="Verdana"/>
              <w:b/>
              <w:color w:val="000000"/>
              <w:sz w:val="17"/>
              <w:szCs w:val="17"/>
            </w:rPr>
            <w:t>84-69-5, 84-74-2, 85-68-7, 117-81-7</w:t>
          </w:r>
        </w:p>
        <w:p w:rsidR="005F553F" w:rsidRPr="00426C3D" w:rsidRDefault="005F553F" w:rsidP="00F668DA">
          <w:pPr>
            <w:ind w:left="-108" w:right="-108"/>
            <w:rPr>
              <w:rFonts w:ascii="Verdana" w:hAnsi="Verdana"/>
              <w:sz w:val="17"/>
              <w:szCs w:val="17"/>
            </w:rPr>
          </w:pPr>
          <w:r w:rsidRPr="00426C3D">
            <w:rPr>
              <w:rFonts w:ascii="Verdana" w:hAnsi="Verdana"/>
              <w:sz w:val="17"/>
              <w:szCs w:val="17"/>
            </w:rPr>
            <w:t>EC number: 201-553-2, 201-557-4, 201-622-7, 204-211-0</w:t>
          </w:r>
        </w:p>
      </w:tc>
      <w:tc>
        <w:tcPr>
          <w:tcW w:w="2694" w:type="pct"/>
        </w:tcPr>
        <w:p w:rsidR="005F553F" w:rsidRPr="00426C3D" w:rsidRDefault="005F553F" w:rsidP="00F668DA">
          <w:pPr>
            <w:pStyle w:val="Header"/>
            <w:ind w:left="-6"/>
            <w:jc w:val="right"/>
            <w:rPr>
              <w:rFonts w:ascii="Verdana" w:hAnsi="Verdana"/>
              <w:sz w:val="17"/>
              <w:szCs w:val="17"/>
            </w:rPr>
          </w:pPr>
          <w:r w:rsidRPr="00426C3D">
            <w:rPr>
              <w:rFonts w:ascii="Verdana" w:hAnsi="Verdana"/>
              <w:sz w:val="17"/>
              <w:szCs w:val="17"/>
            </w:rPr>
            <w:t>Comments and response to comments on Annex XV restriction report on</w:t>
          </w:r>
          <w:r w:rsidRPr="00426C3D">
            <w:rPr>
              <w:rFonts w:ascii="Verdana" w:hAnsi="Verdana"/>
              <w:b/>
              <w:sz w:val="17"/>
              <w:szCs w:val="17"/>
            </w:rPr>
            <w:t xml:space="preserve"> Diisobutyl phthalate, Dibutyl phthalate, Benzyl butyl phthalate, Bis(2-ethylhexyl) phthalate</w:t>
          </w:r>
        </w:p>
        <w:p w:rsidR="005F553F" w:rsidRPr="00426C3D" w:rsidRDefault="005F553F" w:rsidP="00F668DA">
          <w:pPr>
            <w:pStyle w:val="Header"/>
            <w:ind w:left="-6"/>
            <w:jc w:val="right"/>
            <w:rPr>
              <w:rFonts w:ascii="Verdana" w:hAnsi="Verdana"/>
              <w:noProof/>
              <w:sz w:val="17"/>
              <w:szCs w:val="17"/>
            </w:rPr>
          </w:pPr>
          <w:r w:rsidRPr="00426C3D">
            <w:rPr>
              <w:rFonts w:ascii="Verdana" w:hAnsi="Verdana"/>
              <w:noProof/>
              <w:sz w:val="17"/>
              <w:szCs w:val="17"/>
            </w:rPr>
            <w:t xml:space="preserve">Annex XV report submitted by </w:t>
          </w:r>
          <w:smartTag w:uri="urn:schemas-microsoft-com:office:smarttags" w:element="country-region">
            <w:smartTag w:uri="urn:schemas-microsoft-com:office:smarttags" w:element="place">
              <w:r w:rsidRPr="00426C3D">
                <w:rPr>
                  <w:rFonts w:ascii="Verdana" w:hAnsi="Verdana"/>
                  <w:noProof/>
                  <w:sz w:val="17"/>
                  <w:szCs w:val="17"/>
                </w:rPr>
                <w:t>Denmark</w:t>
              </w:r>
            </w:smartTag>
          </w:smartTag>
          <w:r w:rsidRPr="00426C3D">
            <w:rPr>
              <w:rFonts w:ascii="Verdana" w:hAnsi="Verdana"/>
              <w:noProof/>
              <w:sz w:val="17"/>
              <w:szCs w:val="17"/>
            </w:rPr>
            <w:t xml:space="preserve"> 12 August 2011. </w:t>
          </w:r>
        </w:p>
        <w:p w:rsidR="005F553F" w:rsidRPr="00426C3D" w:rsidRDefault="005F553F" w:rsidP="00F668DA">
          <w:pPr>
            <w:pStyle w:val="Header"/>
            <w:ind w:left="-6"/>
            <w:jc w:val="right"/>
            <w:rPr>
              <w:rFonts w:ascii="Verdana" w:hAnsi="Verdana"/>
              <w:sz w:val="17"/>
              <w:szCs w:val="17"/>
            </w:rPr>
          </w:pPr>
          <w:r w:rsidRPr="00426C3D">
            <w:rPr>
              <w:rFonts w:ascii="Verdana" w:hAnsi="Verdana"/>
              <w:noProof/>
              <w:sz w:val="17"/>
              <w:szCs w:val="17"/>
            </w:rPr>
            <w:t>Public consultation on Annex XV report started on 16 September 2011.</w:t>
          </w:r>
        </w:p>
      </w:tc>
    </w:tr>
  </w:tbl>
  <w:p w:rsidR="005F553F" w:rsidRPr="00B57DE6" w:rsidRDefault="005F553F" w:rsidP="00EF60FC">
    <w:pPr>
      <w:pStyle w:val="Header"/>
      <w:tabs>
        <w:tab w:val="clear" w:pos="4153"/>
        <w:tab w:val="clear" w:pos="8306"/>
        <w:tab w:val="left" w:pos="7470"/>
      </w:tabs>
      <w:rPr>
        <w:rFonts w:ascii="Verdana" w:hAnsi="Verdana"/>
        <w:b/>
        <w:sz w:val="20"/>
        <w:szCs w:val="20"/>
      </w:rPr>
    </w:pPr>
    <w:r w:rsidRPr="00B57DE6">
      <w:rPr>
        <w:rFonts w:ascii="Verdana" w:hAnsi="Verdana"/>
        <w:b/>
        <w:sz w:val="20"/>
        <w:szCs w:val="20"/>
      </w:rPr>
      <w:t>Table I (</w:t>
    </w:r>
    <w:r>
      <w:rPr>
        <w:rFonts w:ascii="Verdana" w:hAnsi="Verdana"/>
        <w:b/>
        <w:sz w:val="20"/>
        <w:szCs w:val="20"/>
      </w:rPr>
      <w:t xml:space="preserve">Responses to individual comments). </w:t>
    </w:r>
    <w:r w:rsidR="00990ADD">
      <w:rPr>
        <w:rFonts w:ascii="Verdana" w:hAnsi="Verdana"/>
        <w:b/>
        <w:sz w:val="20"/>
        <w:szCs w:val="20"/>
      </w:rPr>
      <w:t>Non-c</w:t>
    </w:r>
    <w:r>
      <w:rPr>
        <w:rFonts w:ascii="Verdana" w:hAnsi="Verdana"/>
        <w:b/>
        <w:sz w:val="20"/>
        <w:szCs w:val="20"/>
      </w:rPr>
      <w:t>onfidential</w:t>
    </w:r>
  </w:p>
  <w:p w:rsidR="005F553F" w:rsidRPr="00424F13" w:rsidRDefault="005F553F" w:rsidP="00EF60FC">
    <w:pPr>
      <w:pStyle w:val="Header"/>
      <w:tabs>
        <w:tab w:val="clear" w:pos="4153"/>
        <w:tab w:val="clear" w:pos="8306"/>
        <w:tab w:val="left" w:pos="7470"/>
      </w:tabs>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4144E"/>
    <w:multiLevelType w:val="hybridMultilevel"/>
    <w:tmpl w:val="AD3ECA8A"/>
    <w:lvl w:ilvl="0" w:tplc="4CFCCDBE">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2B1577"/>
    <w:multiLevelType w:val="hybridMultilevel"/>
    <w:tmpl w:val="6A3055E2"/>
    <w:lvl w:ilvl="0" w:tplc="ACBE81E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8E1"/>
    <w:rsid w:val="00003143"/>
    <w:rsid w:val="00007D41"/>
    <w:rsid w:val="000126C7"/>
    <w:rsid w:val="000144B7"/>
    <w:rsid w:val="00014D58"/>
    <w:rsid w:val="000329B3"/>
    <w:rsid w:val="00040AD2"/>
    <w:rsid w:val="00043CA7"/>
    <w:rsid w:val="000462C7"/>
    <w:rsid w:val="00052740"/>
    <w:rsid w:val="0007009A"/>
    <w:rsid w:val="00070634"/>
    <w:rsid w:val="0007702A"/>
    <w:rsid w:val="00087855"/>
    <w:rsid w:val="00093DE7"/>
    <w:rsid w:val="00094487"/>
    <w:rsid w:val="000A543B"/>
    <w:rsid w:val="000B13F0"/>
    <w:rsid w:val="000B4617"/>
    <w:rsid w:val="000B68BA"/>
    <w:rsid w:val="000B7598"/>
    <w:rsid w:val="000D2CED"/>
    <w:rsid w:val="000D5B46"/>
    <w:rsid w:val="000F056B"/>
    <w:rsid w:val="000F102B"/>
    <w:rsid w:val="000F23EE"/>
    <w:rsid w:val="000F633F"/>
    <w:rsid w:val="00103FCA"/>
    <w:rsid w:val="001042FF"/>
    <w:rsid w:val="00114ECA"/>
    <w:rsid w:val="00115DD0"/>
    <w:rsid w:val="00116176"/>
    <w:rsid w:val="001178E1"/>
    <w:rsid w:val="00127FFB"/>
    <w:rsid w:val="001322C2"/>
    <w:rsid w:val="001352C0"/>
    <w:rsid w:val="00145F51"/>
    <w:rsid w:val="0015017C"/>
    <w:rsid w:val="001547BC"/>
    <w:rsid w:val="00154DA4"/>
    <w:rsid w:val="0015702A"/>
    <w:rsid w:val="00160FF7"/>
    <w:rsid w:val="00161AAD"/>
    <w:rsid w:val="00164F82"/>
    <w:rsid w:val="00165F64"/>
    <w:rsid w:val="001715FB"/>
    <w:rsid w:val="001726CB"/>
    <w:rsid w:val="001858A9"/>
    <w:rsid w:val="00192FBA"/>
    <w:rsid w:val="001A330B"/>
    <w:rsid w:val="001C7A50"/>
    <w:rsid w:val="001D3C51"/>
    <w:rsid w:val="001E1913"/>
    <w:rsid w:val="002001AF"/>
    <w:rsid w:val="0020241E"/>
    <w:rsid w:val="00215356"/>
    <w:rsid w:val="00217CDE"/>
    <w:rsid w:val="00224422"/>
    <w:rsid w:val="00225A1C"/>
    <w:rsid w:val="00231CE3"/>
    <w:rsid w:val="002348AC"/>
    <w:rsid w:val="002362DE"/>
    <w:rsid w:val="00244664"/>
    <w:rsid w:val="002460B7"/>
    <w:rsid w:val="00250B69"/>
    <w:rsid w:val="00251BEA"/>
    <w:rsid w:val="00264BDF"/>
    <w:rsid w:val="00274CA3"/>
    <w:rsid w:val="002912A4"/>
    <w:rsid w:val="00293581"/>
    <w:rsid w:val="002937F2"/>
    <w:rsid w:val="002B7BF0"/>
    <w:rsid w:val="002D05CB"/>
    <w:rsid w:val="002E3A80"/>
    <w:rsid w:val="002E5029"/>
    <w:rsid w:val="002E5710"/>
    <w:rsid w:val="002F0683"/>
    <w:rsid w:val="002F6F63"/>
    <w:rsid w:val="00311FD2"/>
    <w:rsid w:val="00327782"/>
    <w:rsid w:val="003309A1"/>
    <w:rsid w:val="00342D7A"/>
    <w:rsid w:val="00356AF0"/>
    <w:rsid w:val="00356CD5"/>
    <w:rsid w:val="0035710A"/>
    <w:rsid w:val="0036219C"/>
    <w:rsid w:val="00363154"/>
    <w:rsid w:val="00367FD2"/>
    <w:rsid w:val="00376863"/>
    <w:rsid w:val="00380530"/>
    <w:rsid w:val="00380AA2"/>
    <w:rsid w:val="00381530"/>
    <w:rsid w:val="00390A2B"/>
    <w:rsid w:val="003932C4"/>
    <w:rsid w:val="003A225D"/>
    <w:rsid w:val="003A6FC3"/>
    <w:rsid w:val="003B7200"/>
    <w:rsid w:val="003C6791"/>
    <w:rsid w:val="003D6362"/>
    <w:rsid w:val="003D7E97"/>
    <w:rsid w:val="003E1563"/>
    <w:rsid w:val="003E630A"/>
    <w:rsid w:val="003F1F22"/>
    <w:rsid w:val="00407A67"/>
    <w:rsid w:val="00413B52"/>
    <w:rsid w:val="00424F13"/>
    <w:rsid w:val="00426C3D"/>
    <w:rsid w:val="004300D3"/>
    <w:rsid w:val="004303E4"/>
    <w:rsid w:val="00442BDC"/>
    <w:rsid w:val="004511B3"/>
    <w:rsid w:val="00452686"/>
    <w:rsid w:val="00460B9C"/>
    <w:rsid w:val="00460CC1"/>
    <w:rsid w:val="0046308E"/>
    <w:rsid w:val="00471044"/>
    <w:rsid w:val="00471572"/>
    <w:rsid w:val="00473A7B"/>
    <w:rsid w:val="004744DA"/>
    <w:rsid w:val="004752C1"/>
    <w:rsid w:val="00475A63"/>
    <w:rsid w:val="004912D4"/>
    <w:rsid w:val="00491714"/>
    <w:rsid w:val="004A426B"/>
    <w:rsid w:val="004B2202"/>
    <w:rsid w:val="004B315A"/>
    <w:rsid w:val="004C3112"/>
    <w:rsid w:val="004D47B1"/>
    <w:rsid w:val="004D623D"/>
    <w:rsid w:val="004F482E"/>
    <w:rsid w:val="004F7253"/>
    <w:rsid w:val="00506390"/>
    <w:rsid w:val="005124F5"/>
    <w:rsid w:val="00512F9C"/>
    <w:rsid w:val="00524595"/>
    <w:rsid w:val="00534BAF"/>
    <w:rsid w:val="005359F7"/>
    <w:rsid w:val="0054116F"/>
    <w:rsid w:val="0054387E"/>
    <w:rsid w:val="00546E18"/>
    <w:rsid w:val="005563A0"/>
    <w:rsid w:val="005728DA"/>
    <w:rsid w:val="005735D7"/>
    <w:rsid w:val="005964B4"/>
    <w:rsid w:val="005976ED"/>
    <w:rsid w:val="005A0145"/>
    <w:rsid w:val="005B2A56"/>
    <w:rsid w:val="005B504D"/>
    <w:rsid w:val="005B5076"/>
    <w:rsid w:val="005C080D"/>
    <w:rsid w:val="005D1EA6"/>
    <w:rsid w:val="005D5FB8"/>
    <w:rsid w:val="005E37D3"/>
    <w:rsid w:val="005E3E89"/>
    <w:rsid w:val="005E680C"/>
    <w:rsid w:val="005E7A32"/>
    <w:rsid w:val="005F553F"/>
    <w:rsid w:val="00600B89"/>
    <w:rsid w:val="00603AE5"/>
    <w:rsid w:val="00610F23"/>
    <w:rsid w:val="006116E4"/>
    <w:rsid w:val="0061431C"/>
    <w:rsid w:val="00622403"/>
    <w:rsid w:val="00643184"/>
    <w:rsid w:val="006470D4"/>
    <w:rsid w:val="0066301A"/>
    <w:rsid w:val="006661F8"/>
    <w:rsid w:val="00673E29"/>
    <w:rsid w:val="00676DEE"/>
    <w:rsid w:val="0068456D"/>
    <w:rsid w:val="0069296F"/>
    <w:rsid w:val="00692D4F"/>
    <w:rsid w:val="006953BA"/>
    <w:rsid w:val="00697E4C"/>
    <w:rsid w:val="006B32CD"/>
    <w:rsid w:val="006B5101"/>
    <w:rsid w:val="006C5F6C"/>
    <w:rsid w:val="006D2DD3"/>
    <w:rsid w:val="006D30A8"/>
    <w:rsid w:val="006D32E0"/>
    <w:rsid w:val="006D534C"/>
    <w:rsid w:val="006D5D6F"/>
    <w:rsid w:val="006D6D06"/>
    <w:rsid w:val="006E4368"/>
    <w:rsid w:val="006F055F"/>
    <w:rsid w:val="00701618"/>
    <w:rsid w:val="00704F8D"/>
    <w:rsid w:val="007057E6"/>
    <w:rsid w:val="00722C5C"/>
    <w:rsid w:val="00724B6D"/>
    <w:rsid w:val="00735432"/>
    <w:rsid w:val="00736D8B"/>
    <w:rsid w:val="0075085D"/>
    <w:rsid w:val="00755FBB"/>
    <w:rsid w:val="00772BCA"/>
    <w:rsid w:val="00782906"/>
    <w:rsid w:val="007A5631"/>
    <w:rsid w:val="007C6BB7"/>
    <w:rsid w:val="007E066D"/>
    <w:rsid w:val="007F7B67"/>
    <w:rsid w:val="00801C8C"/>
    <w:rsid w:val="00802DE0"/>
    <w:rsid w:val="00803D39"/>
    <w:rsid w:val="00803E92"/>
    <w:rsid w:val="0081389F"/>
    <w:rsid w:val="00825A17"/>
    <w:rsid w:val="00830F64"/>
    <w:rsid w:val="00860DB6"/>
    <w:rsid w:val="008719BD"/>
    <w:rsid w:val="008743BA"/>
    <w:rsid w:val="0087451D"/>
    <w:rsid w:val="00876D4C"/>
    <w:rsid w:val="008813CC"/>
    <w:rsid w:val="00886AD0"/>
    <w:rsid w:val="008A0A3A"/>
    <w:rsid w:val="008A0BBA"/>
    <w:rsid w:val="008B209C"/>
    <w:rsid w:val="008B3B38"/>
    <w:rsid w:val="008C13E0"/>
    <w:rsid w:val="008C3079"/>
    <w:rsid w:val="008C79A5"/>
    <w:rsid w:val="008C7D52"/>
    <w:rsid w:val="008D4F92"/>
    <w:rsid w:val="008E03C4"/>
    <w:rsid w:val="008F2ABC"/>
    <w:rsid w:val="008F3E16"/>
    <w:rsid w:val="008F4559"/>
    <w:rsid w:val="008F6FEA"/>
    <w:rsid w:val="00901572"/>
    <w:rsid w:val="00901EA3"/>
    <w:rsid w:val="009040AA"/>
    <w:rsid w:val="00905071"/>
    <w:rsid w:val="00907FAE"/>
    <w:rsid w:val="00912DCA"/>
    <w:rsid w:val="00920DFB"/>
    <w:rsid w:val="00921086"/>
    <w:rsid w:val="009229D9"/>
    <w:rsid w:val="00922F86"/>
    <w:rsid w:val="009255E2"/>
    <w:rsid w:val="009431D9"/>
    <w:rsid w:val="00960441"/>
    <w:rsid w:val="009737DF"/>
    <w:rsid w:val="009768FB"/>
    <w:rsid w:val="00983726"/>
    <w:rsid w:val="009853F3"/>
    <w:rsid w:val="00990ADD"/>
    <w:rsid w:val="00990E27"/>
    <w:rsid w:val="0099443E"/>
    <w:rsid w:val="0099702C"/>
    <w:rsid w:val="009973F4"/>
    <w:rsid w:val="009A3148"/>
    <w:rsid w:val="009B3C57"/>
    <w:rsid w:val="009B63D8"/>
    <w:rsid w:val="009B68A6"/>
    <w:rsid w:val="009C3419"/>
    <w:rsid w:val="009C3700"/>
    <w:rsid w:val="009C72FD"/>
    <w:rsid w:val="009E10E6"/>
    <w:rsid w:val="009E32D1"/>
    <w:rsid w:val="009E7647"/>
    <w:rsid w:val="009F1BF9"/>
    <w:rsid w:val="00A0440A"/>
    <w:rsid w:val="00A14892"/>
    <w:rsid w:val="00A22E6B"/>
    <w:rsid w:val="00A25FA9"/>
    <w:rsid w:val="00A377AB"/>
    <w:rsid w:val="00A4185C"/>
    <w:rsid w:val="00A41B66"/>
    <w:rsid w:val="00A41BB8"/>
    <w:rsid w:val="00A426D7"/>
    <w:rsid w:val="00A43011"/>
    <w:rsid w:val="00A436DA"/>
    <w:rsid w:val="00A4462B"/>
    <w:rsid w:val="00A46754"/>
    <w:rsid w:val="00A71FF0"/>
    <w:rsid w:val="00A848AF"/>
    <w:rsid w:val="00A8770C"/>
    <w:rsid w:val="00A902C8"/>
    <w:rsid w:val="00A97E7F"/>
    <w:rsid w:val="00AA7030"/>
    <w:rsid w:val="00AB0E59"/>
    <w:rsid w:val="00AB55F5"/>
    <w:rsid w:val="00AD1BCC"/>
    <w:rsid w:val="00AE4710"/>
    <w:rsid w:val="00AF04D3"/>
    <w:rsid w:val="00AF0F14"/>
    <w:rsid w:val="00AF2B7C"/>
    <w:rsid w:val="00AF32B6"/>
    <w:rsid w:val="00AF7919"/>
    <w:rsid w:val="00AF7E66"/>
    <w:rsid w:val="00B0020A"/>
    <w:rsid w:val="00B0687E"/>
    <w:rsid w:val="00B12A86"/>
    <w:rsid w:val="00B167D4"/>
    <w:rsid w:val="00B35FDC"/>
    <w:rsid w:val="00B4062C"/>
    <w:rsid w:val="00B440B2"/>
    <w:rsid w:val="00B521B1"/>
    <w:rsid w:val="00B5574E"/>
    <w:rsid w:val="00B57DE6"/>
    <w:rsid w:val="00B61FC5"/>
    <w:rsid w:val="00B644BB"/>
    <w:rsid w:val="00B67729"/>
    <w:rsid w:val="00B74F1C"/>
    <w:rsid w:val="00B80CE8"/>
    <w:rsid w:val="00B82B6F"/>
    <w:rsid w:val="00B90319"/>
    <w:rsid w:val="00B90AAF"/>
    <w:rsid w:val="00B92D77"/>
    <w:rsid w:val="00B93496"/>
    <w:rsid w:val="00B9540B"/>
    <w:rsid w:val="00BB5763"/>
    <w:rsid w:val="00BC065E"/>
    <w:rsid w:val="00BC1E2E"/>
    <w:rsid w:val="00BC33D0"/>
    <w:rsid w:val="00BD14B9"/>
    <w:rsid w:val="00BD1B2C"/>
    <w:rsid w:val="00BD25DF"/>
    <w:rsid w:val="00BD5B83"/>
    <w:rsid w:val="00BE11BA"/>
    <w:rsid w:val="00BF3805"/>
    <w:rsid w:val="00BF48A8"/>
    <w:rsid w:val="00BF4A6B"/>
    <w:rsid w:val="00BF7460"/>
    <w:rsid w:val="00C00E85"/>
    <w:rsid w:val="00C12AC2"/>
    <w:rsid w:val="00C24EDB"/>
    <w:rsid w:val="00C25D76"/>
    <w:rsid w:val="00C26B78"/>
    <w:rsid w:val="00C6246B"/>
    <w:rsid w:val="00C65DB4"/>
    <w:rsid w:val="00C6669C"/>
    <w:rsid w:val="00C678A2"/>
    <w:rsid w:val="00C71184"/>
    <w:rsid w:val="00C73650"/>
    <w:rsid w:val="00C8566A"/>
    <w:rsid w:val="00C903E6"/>
    <w:rsid w:val="00C94935"/>
    <w:rsid w:val="00C94CB2"/>
    <w:rsid w:val="00C952DB"/>
    <w:rsid w:val="00C97BA4"/>
    <w:rsid w:val="00CA14A5"/>
    <w:rsid w:val="00CA59BD"/>
    <w:rsid w:val="00CB5EE3"/>
    <w:rsid w:val="00CC6405"/>
    <w:rsid w:val="00CC721E"/>
    <w:rsid w:val="00CD2082"/>
    <w:rsid w:val="00CE5C91"/>
    <w:rsid w:val="00CE7DA8"/>
    <w:rsid w:val="00CF1C06"/>
    <w:rsid w:val="00D03389"/>
    <w:rsid w:val="00D040C8"/>
    <w:rsid w:val="00D0785F"/>
    <w:rsid w:val="00D11DB4"/>
    <w:rsid w:val="00D223EA"/>
    <w:rsid w:val="00D26BD0"/>
    <w:rsid w:val="00D45D23"/>
    <w:rsid w:val="00D5386A"/>
    <w:rsid w:val="00D53D8A"/>
    <w:rsid w:val="00D56A11"/>
    <w:rsid w:val="00D570A4"/>
    <w:rsid w:val="00D57295"/>
    <w:rsid w:val="00D612EE"/>
    <w:rsid w:val="00D62F8B"/>
    <w:rsid w:val="00D719D9"/>
    <w:rsid w:val="00D72BD8"/>
    <w:rsid w:val="00D73C28"/>
    <w:rsid w:val="00D77758"/>
    <w:rsid w:val="00D93CF8"/>
    <w:rsid w:val="00DB7DB4"/>
    <w:rsid w:val="00DC3B43"/>
    <w:rsid w:val="00DC5B88"/>
    <w:rsid w:val="00DC7719"/>
    <w:rsid w:val="00DE32D6"/>
    <w:rsid w:val="00DE7C29"/>
    <w:rsid w:val="00DF1F00"/>
    <w:rsid w:val="00DF6DE0"/>
    <w:rsid w:val="00E00948"/>
    <w:rsid w:val="00E035F1"/>
    <w:rsid w:val="00E07086"/>
    <w:rsid w:val="00E10133"/>
    <w:rsid w:val="00E105C7"/>
    <w:rsid w:val="00E1316A"/>
    <w:rsid w:val="00E24071"/>
    <w:rsid w:val="00E44AD0"/>
    <w:rsid w:val="00E51F11"/>
    <w:rsid w:val="00E55550"/>
    <w:rsid w:val="00E55E40"/>
    <w:rsid w:val="00E6390C"/>
    <w:rsid w:val="00E66DEF"/>
    <w:rsid w:val="00E74A96"/>
    <w:rsid w:val="00E8018E"/>
    <w:rsid w:val="00E8130D"/>
    <w:rsid w:val="00E85944"/>
    <w:rsid w:val="00EB27EF"/>
    <w:rsid w:val="00EC1056"/>
    <w:rsid w:val="00EC594B"/>
    <w:rsid w:val="00ED1598"/>
    <w:rsid w:val="00ED684D"/>
    <w:rsid w:val="00EE660C"/>
    <w:rsid w:val="00EE66BD"/>
    <w:rsid w:val="00EF5A43"/>
    <w:rsid w:val="00EF6041"/>
    <w:rsid w:val="00EF60FC"/>
    <w:rsid w:val="00F065F2"/>
    <w:rsid w:val="00F22466"/>
    <w:rsid w:val="00F23B44"/>
    <w:rsid w:val="00F23DB4"/>
    <w:rsid w:val="00F400C8"/>
    <w:rsid w:val="00F45A76"/>
    <w:rsid w:val="00F571CD"/>
    <w:rsid w:val="00F60628"/>
    <w:rsid w:val="00F668DA"/>
    <w:rsid w:val="00F7506A"/>
    <w:rsid w:val="00F752C7"/>
    <w:rsid w:val="00F76FB5"/>
    <w:rsid w:val="00F8257E"/>
    <w:rsid w:val="00F847A9"/>
    <w:rsid w:val="00F922A6"/>
    <w:rsid w:val="00FA5F5B"/>
    <w:rsid w:val="00FA612C"/>
    <w:rsid w:val="00FA7E18"/>
    <w:rsid w:val="00FB0488"/>
    <w:rsid w:val="00FB4395"/>
    <w:rsid w:val="00FC134B"/>
    <w:rsid w:val="00FC1DC1"/>
    <w:rsid w:val="00FC26DF"/>
    <w:rsid w:val="00FC34C2"/>
    <w:rsid w:val="00FE0734"/>
    <w:rsid w:val="00FE0F66"/>
    <w:rsid w:val="00FE25D7"/>
    <w:rsid w:val="00FE4439"/>
    <w:rsid w:val="00FE4665"/>
    <w:rsid w:val="00FF0D8D"/>
    <w:rsid w:val="00FF41B6"/>
    <w:rsid w:val="00FF6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9D9"/>
    <w:pPr>
      <w:spacing w:after="0" w:line="240" w:lineRule="auto"/>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973F4"/>
    <w:rPr>
      <w:rFonts w:ascii="Tahoma" w:hAnsi="Tahoma" w:cs="Tahoma"/>
      <w:sz w:val="16"/>
      <w:szCs w:val="16"/>
    </w:rPr>
  </w:style>
  <w:style w:type="character" w:customStyle="1" w:styleId="Kursiivi">
    <w:name w:val="Kursiivi"/>
    <w:basedOn w:val="DefaultParagraphFont"/>
    <w:uiPriority w:val="99"/>
    <w:rsid w:val="00473A7B"/>
    <w:rPr>
      <w:rFonts w:ascii="Verdana" w:hAnsi="Verdana" w:cs="Times New Roman"/>
      <w:i/>
      <w:sz w:val="20"/>
    </w:rPr>
  </w:style>
  <w:style w:type="paragraph" w:styleId="Header">
    <w:name w:val="header"/>
    <w:basedOn w:val="Normal"/>
    <w:link w:val="HeaderChar"/>
    <w:uiPriority w:val="99"/>
    <w:rsid w:val="00912DCA"/>
    <w:pPr>
      <w:tabs>
        <w:tab w:val="center" w:pos="4153"/>
        <w:tab w:val="right" w:pos="8306"/>
      </w:tabs>
    </w:pPr>
  </w:style>
  <w:style w:type="paragraph" w:styleId="Footer">
    <w:name w:val="footer"/>
    <w:basedOn w:val="Normal"/>
    <w:link w:val="FooterChar"/>
    <w:uiPriority w:val="99"/>
    <w:rsid w:val="00912DCA"/>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en-GB" w:eastAsia="en-GB"/>
    </w:rPr>
  </w:style>
  <w:style w:type="character" w:styleId="PageNumber">
    <w:name w:val="page number"/>
    <w:basedOn w:val="DefaultParagraphFont"/>
    <w:uiPriority w:val="99"/>
    <w:rsid w:val="00860DB6"/>
    <w:rPr>
      <w:rFonts w:cs="Times New Roman"/>
    </w:rPr>
  </w:style>
  <w:style w:type="character" w:customStyle="1" w:styleId="FooterChar">
    <w:name w:val="Footer Char"/>
    <w:basedOn w:val="DefaultParagraphFont"/>
    <w:link w:val="Footer"/>
    <w:uiPriority w:val="99"/>
    <w:semiHidden/>
    <w:locked/>
    <w:rPr>
      <w:rFonts w:cs="Times New Roman"/>
      <w:sz w:val="24"/>
      <w:szCs w:val="24"/>
      <w:lang w:val="en-GB" w:eastAsia="en-GB"/>
    </w:rPr>
  </w:style>
  <w:style w:type="table" w:styleId="TableGrid">
    <w:name w:val="Table Grid"/>
    <w:basedOn w:val="TableNormal"/>
    <w:uiPriority w:val="99"/>
    <w:rsid w:val="00BC1E2E"/>
    <w:pPr>
      <w:spacing w:after="0" w:line="24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EC1056"/>
    <w:rPr>
      <w:rFonts w:cs="Times New Roman"/>
      <w:b/>
      <w:bCs/>
    </w:rPr>
  </w:style>
  <w:style w:type="paragraph" w:styleId="NormalWeb">
    <w:name w:val="Normal (Web)"/>
    <w:basedOn w:val="Normal"/>
    <w:uiPriority w:val="99"/>
    <w:rsid w:val="00EC1056"/>
    <w:pPr>
      <w:spacing w:before="100" w:beforeAutospacing="1" w:after="240"/>
    </w:pPr>
  </w:style>
  <w:style w:type="character" w:styleId="CommentReference">
    <w:name w:val="annotation reference"/>
    <w:basedOn w:val="DefaultParagraphFont"/>
    <w:uiPriority w:val="99"/>
    <w:semiHidden/>
    <w:rsid w:val="009973F4"/>
    <w:rPr>
      <w:rFonts w:cs="Times New Roman"/>
      <w:sz w:val="16"/>
      <w:szCs w:val="16"/>
    </w:rPr>
  </w:style>
  <w:style w:type="paragraph" w:styleId="CommentText">
    <w:name w:val="annotation text"/>
    <w:basedOn w:val="Normal"/>
    <w:link w:val="CommentTextChar"/>
    <w:uiPriority w:val="99"/>
    <w:semiHidden/>
    <w:rsid w:val="009973F4"/>
    <w:rPr>
      <w:sz w:val="20"/>
      <w:szCs w:val="20"/>
    </w:rPr>
  </w:style>
  <w:style w:type="paragraph" w:styleId="CommentSubject">
    <w:name w:val="annotation subject"/>
    <w:basedOn w:val="CommentText"/>
    <w:next w:val="CommentText"/>
    <w:link w:val="CommentSubjectChar"/>
    <w:uiPriority w:val="99"/>
    <w:semiHidden/>
    <w:rsid w:val="009973F4"/>
    <w:rPr>
      <w:b/>
      <w:bCs/>
    </w:rPr>
  </w:style>
  <w:style w:type="character" w:customStyle="1" w:styleId="CommentTextChar">
    <w:name w:val="Comment Text Char"/>
    <w:basedOn w:val="DefaultParagraphFont"/>
    <w:link w:val="CommentText"/>
    <w:uiPriority w:val="99"/>
    <w:semiHidden/>
    <w:locked/>
    <w:rPr>
      <w:rFonts w:cs="Times New Roman"/>
      <w:lang w:val="en-GB" w:eastAsia="en-GB"/>
    </w:rPr>
  </w:style>
  <w:style w:type="character" w:customStyle="1" w:styleId="BalloonTextChar">
    <w:name w:val="Balloon Text Char"/>
    <w:basedOn w:val="DefaultParagraphFont"/>
    <w:link w:val="BalloonText"/>
    <w:uiPriority w:val="99"/>
    <w:semiHidden/>
    <w:locked/>
    <w:rPr>
      <w:rFonts w:cs="Times New Roman"/>
      <w:sz w:val="2"/>
      <w:lang w:val="en-GB" w:eastAsia="en-GB"/>
    </w:rPr>
  </w:style>
  <w:style w:type="character" w:customStyle="1" w:styleId="CommentSubjectChar">
    <w:name w:val="Comment Subject Char"/>
    <w:basedOn w:val="CommentTextChar"/>
    <w:link w:val="CommentSubject"/>
    <w:uiPriority w:val="99"/>
    <w:semiHidden/>
    <w:locked/>
    <w:rPr>
      <w:rFonts w:cs="Times New Roman"/>
      <w:b/>
      <w:bCs/>
      <w:lang w:val="en-GB" w:eastAsia="en-GB"/>
    </w:rPr>
  </w:style>
  <w:style w:type="paragraph" w:styleId="FootnoteText">
    <w:name w:val="footnote text"/>
    <w:basedOn w:val="Normal"/>
    <w:link w:val="FootnoteTextChar"/>
    <w:uiPriority w:val="99"/>
    <w:semiHidden/>
    <w:rsid w:val="00473A7B"/>
    <w:pPr>
      <w:jc w:val="both"/>
    </w:pPr>
    <w:rPr>
      <w:rFonts w:ascii="Verdana" w:hAnsi="Verdana"/>
      <w:sz w:val="18"/>
      <w:szCs w:val="20"/>
    </w:rPr>
  </w:style>
  <w:style w:type="character" w:customStyle="1" w:styleId="FootnoteTextChar">
    <w:name w:val="Footnote Text Char"/>
    <w:basedOn w:val="DefaultParagraphFont"/>
    <w:link w:val="FootnoteText"/>
    <w:uiPriority w:val="99"/>
    <w:semiHidden/>
    <w:rPr>
      <w:sz w:val="20"/>
      <w:szCs w:val="20"/>
    </w:rPr>
  </w:style>
  <w:style w:type="character" w:customStyle="1" w:styleId="st1">
    <w:name w:val="st1"/>
    <w:basedOn w:val="DefaultParagraphFont"/>
    <w:uiPriority w:val="99"/>
    <w:rsid w:val="00473A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emf"/><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oleObject" Target="embeddings/Microsoft_Word_97_-_2003_Document2.doc"/><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oleObject" Target="embeddings/Microsoft_Word_97_-_2003_Document1.doc"/><Relationship Id="rId23" Type="http://schemas.openxmlformats.org/officeDocument/2006/relationships/oleObject" Target="embeddings/oleObject2.bin"/><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Microsoft_Word_97_-_2003_Document3.doc"/><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5A42CEC4.dotm</Template>
  <TotalTime>0</TotalTime>
  <Pages>25</Pages>
  <Words>5599</Words>
  <Characters>29804</Characters>
  <Application>Microsoft Office Word</Application>
  <DocSecurity>0</DocSecurity>
  <Lines>248</Lines>
  <Paragraphs>70</Paragraphs>
  <ScaleCrop>false</ScaleCrop>
  <Company/>
  <LinksUpToDate>false</LinksUpToDate>
  <CharactersWithSpaces>35333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2018-07-31T10:37:00Z</dcterms:created>
  <dcterms:modified xsi:type="dcterms:W3CDTF">2018-07-31T10:37:00Z</dcterms:modified>
</cp:coreProperties>
</file>